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9F66" w14:textId="77777777" w:rsidR="00914722" w:rsidRPr="00EF13D2" w:rsidRDefault="00914722" w:rsidP="009123F0">
      <w:pPr>
        <w:rPr>
          <w:rFonts w:ascii="PermianSerifTypeface" w:hAnsi="PermianSerifTypeface"/>
        </w:rPr>
      </w:pPr>
    </w:p>
    <w:p w14:paraId="35BAF42B" w14:textId="77777777" w:rsidR="00B64138" w:rsidRPr="00EF13D2" w:rsidRDefault="00B64138" w:rsidP="00B64138">
      <w:pPr>
        <w:spacing w:after="0" w:line="240" w:lineRule="auto"/>
        <w:jc w:val="center"/>
        <w:rPr>
          <w:rFonts w:ascii="PermianSerifTypeface" w:eastAsia="Times New Roman" w:hAnsi="PermianSerifTypeface" w:cs="Arial"/>
          <w:lang w:val="ro-MD" w:eastAsia="ro-MD"/>
        </w:rPr>
      </w:pPr>
      <w:r w:rsidRPr="00EF13D2">
        <w:rPr>
          <w:rFonts w:ascii="PermianSerifTypeface" w:eastAsia="Times New Roman" w:hAnsi="PermianSerifTypeface" w:cs="Arial"/>
          <w:noProof/>
          <w:lang w:val="ro-MD" w:eastAsia="ro-MD"/>
        </w:rPr>
        <w:drawing>
          <wp:inline distT="0" distB="0" distL="0" distR="0" wp14:anchorId="445A3265" wp14:editId="534C2016">
            <wp:extent cx="571500" cy="685800"/>
            <wp:effectExtent l="0" t="0" r="0" b="0"/>
            <wp:docPr id="2" name="Picture 1" descr="A colorful emblem with a bull head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emblem with a bull head  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035F84D" w14:textId="79C555A1" w:rsidR="00B64138" w:rsidRPr="00EF13D2" w:rsidRDefault="00B64138" w:rsidP="00B64138">
      <w:pPr>
        <w:spacing w:after="0" w:line="240" w:lineRule="auto"/>
        <w:jc w:val="center"/>
        <w:rPr>
          <w:rFonts w:ascii="PermianSerifTypeface" w:eastAsia="Times New Roman" w:hAnsi="PermianSerifTypeface" w:cs="Arial"/>
          <w:b/>
          <w:bCs/>
          <w:sz w:val="24"/>
          <w:szCs w:val="24"/>
          <w:lang w:val="ro-MD" w:eastAsia="ro-MD"/>
        </w:rPr>
      </w:pPr>
      <w:r w:rsidRPr="00EF13D2">
        <w:rPr>
          <w:rFonts w:ascii="PermianSerifTypeface" w:eastAsia="Times New Roman" w:hAnsi="PermianSerifTypeface" w:cs="Arial"/>
          <w:b/>
          <w:bCs/>
          <w:sz w:val="24"/>
          <w:szCs w:val="24"/>
          <w:lang w:val="ro-MD" w:eastAsia="ro-MD"/>
        </w:rPr>
        <w:t>NATIONAL BANK OF MOLDOVA</w:t>
      </w:r>
    </w:p>
    <w:p w14:paraId="11838448" w14:textId="77777777" w:rsidR="00B64138" w:rsidRPr="00EF13D2" w:rsidRDefault="00B64138" w:rsidP="00B64138">
      <w:pPr>
        <w:spacing w:after="0" w:line="240" w:lineRule="auto"/>
        <w:ind w:firstLine="567"/>
        <w:jc w:val="both"/>
        <w:rPr>
          <w:rFonts w:ascii="PermianSerifTypeface" w:eastAsia="Times New Roman" w:hAnsi="PermianSerifTypeface" w:cs="Arial"/>
          <w:lang w:val="ro-MD" w:eastAsia="ro-MD"/>
        </w:rPr>
      </w:pPr>
      <w:r w:rsidRPr="00EF13D2">
        <w:rPr>
          <w:rFonts w:ascii="PermianSerifTypeface" w:eastAsia="Times New Roman" w:hAnsi="PermianSerifTypeface" w:cs="Arial"/>
          <w:lang w:val="ro-MD" w:eastAsia="ro-MD"/>
        </w:rPr>
        <w:t> </w:t>
      </w:r>
    </w:p>
    <w:p w14:paraId="7D767D9E" w14:textId="41748437" w:rsidR="00B64138" w:rsidRPr="00EF13D2" w:rsidRDefault="00B64138" w:rsidP="00B64138">
      <w:pPr>
        <w:spacing w:after="0" w:line="240" w:lineRule="auto"/>
        <w:jc w:val="center"/>
        <w:rPr>
          <w:rFonts w:ascii="PermianSerifTypeface" w:eastAsia="Times New Roman" w:hAnsi="PermianSerifTypeface" w:cs="Arial"/>
          <w:b/>
          <w:bCs/>
          <w:lang w:val="ro-MD" w:eastAsia="ro-MD"/>
        </w:rPr>
      </w:pPr>
      <w:r w:rsidRPr="00EF13D2">
        <w:rPr>
          <w:rFonts w:ascii="PermianSerifTypeface" w:eastAsia="Times New Roman" w:hAnsi="PermianSerifTypeface" w:cs="Arial"/>
          <w:b/>
          <w:bCs/>
          <w:lang w:val="ro-MD" w:eastAsia="ro-MD"/>
        </w:rPr>
        <w:t>R E S O L U T I O N</w:t>
      </w:r>
    </w:p>
    <w:p w14:paraId="6C12B0C6" w14:textId="00D74059" w:rsidR="00B64138" w:rsidRPr="00EF13D2" w:rsidRDefault="00E4373C" w:rsidP="00E4373C">
      <w:pPr>
        <w:spacing w:after="0" w:line="240" w:lineRule="auto"/>
        <w:jc w:val="center"/>
        <w:rPr>
          <w:rFonts w:ascii="PermianSerifTypeface" w:eastAsia="Times New Roman" w:hAnsi="PermianSerifTypeface" w:cs="Arial"/>
          <w:b/>
          <w:bCs/>
          <w:lang w:val="ro-MD" w:eastAsia="ro-MD"/>
        </w:rPr>
      </w:pPr>
      <w:r w:rsidRPr="00EF13D2">
        <w:rPr>
          <w:rFonts w:ascii="PermianSerifTypeface" w:eastAsia="Times New Roman" w:hAnsi="PermianSerifTypeface" w:cs="Arial"/>
          <w:b/>
          <w:bCs/>
          <w:lang w:val="ro-MD" w:eastAsia="ro-MD"/>
        </w:rPr>
        <w:t>O</w:t>
      </w:r>
      <w:r w:rsidR="00B64138" w:rsidRPr="00EF13D2">
        <w:rPr>
          <w:rFonts w:ascii="PermianSerifTypeface" w:eastAsia="Times New Roman" w:hAnsi="PermianSerifTypeface" w:cs="Arial"/>
          <w:b/>
          <w:bCs/>
          <w:lang w:val="ro-MD" w:eastAsia="ro-MD"/>
        </w:rPr>
        <w:t xml:space="preserve">n </w:t>
      </w:r>
      <w:proofErr w:type="spellStart"/>
      <w:r w:rsidR="00B64138" w:rsidRPr="00EF13D2">
        <w:rPr>
          <w:rFonts w:ascii="PermianSerifTypeface" w:eastAsia="Times New Roman" w:hAnsi="PermianSerifTypeface" w:cs="Arial"/>
          <w:b/>
          <w:bCs/>
          <w:lang w:val="ro-MD" w:eastAsia="ro-MD"/>
        </w:rPr>
        <w:t>the</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approval</w:t>
      </w:r>
      <w:proofErr w:type="spellEnd"/>
      <w:r w:rsidR="00B64138" w:rsidRPr="00EF13D2">
        <w:rPr>
          <w:rFonts w:ascii="PermianSerifTypeface" w:eastAsia="Times New Roman" w:hAnsi="PermianSerifTypeface" w:cs="Arial"/>
          <w:b/>
          <w:bCs/>
          <w:lang w:val="ro-MD" w:eastAsia="ro-MD"/>
        </w:rPr>
        <w:t xml:space="preserve"> of </w:t>
      </w:r>
      <w:proofErr w:type="spellStart"/>
      <w:r w:rsidR="00B64138" w:rsidRPr="00EF13D2">
        <w:rPr>
          <w:rFonts w:ascii="PermianSerifTypeface" w:eastAsia="Times New Roman" w:hAnsi="PermianSerifTypeface" w:cs="Arial"/>
          <w:b/>
          <w:bCs/>
          <w:lang w:val="ro-MD" w:eastAsia="ro-MD"/>
        </w:rPr>
        <w:t>the</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Regulation</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regarding</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the</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notification</w:t>
      </w:r>
      <w:proofErr w:type="spellEnd"/>
      <w:r w:rsidR="00B64138" w:rsidRPr="00EF13D2">
        <w:rPr>
          <w:rFonts w:ascii="PermianSerifTypeface" w:eastAsia="Times New Roman" w:hAnsi="PermianSerifTypeface" w:cs="Arial"/>
          <w:b/>
          <w:bCs/>
          <w:lang w:val="ro-MD" w:eastAsia="ro-MD"/>
        </w:rPr>
        <w:t xml:space="preserve"> of </w:t>
      </w:r>
      <w:proofErr w:type="spellStart"/>
      <w:r w:rsidR="00B64138" w:rsidRPr="00EF13D2">
        <w:rPr>
          <w:rFonts w:ascii="PermianSerifTypeface" w:eastAsia="Times New Roman" w:hAnsi="PermianSerifTypeface" w:cs="Arial"/>
          <w:b/>
          <w:bCs/>
          <w:lang w:val="ro-MD" w:eastAsia="ro-MD"/>
        </w:rPr>
        <w:t>activities</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referred</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to</w:t>
      </w:r>
      <w:proofErr w:type="spellEnd"/>
      <w:r w:rsidR="00B64138" w:rsidRPr="00EF13D2">
        <w:rPr>
          <w:rFonts w:ascii="PermianSerifTypeface" w:eastAsia="Times New Roman" w:hAnsi="PermianSerifTypeface" w:cs="Arial"/>
          <w:b/>
          <w:bCs/>
          <w:lang w:val="ro-MD" w:eastAsia="ro-MD"/>
        </w:rPr>
        <w:t xml:space="preserve"> in </w:t>
      </w:r>
      <w:proofErr w:type="spellStart"/>
      <w:r w:rsidR="00B64138" w:rsidRPr="00EF13D2">
        <w:rPr>
          <w:rFonts w:ascii="PermianSerifTypeface" w:eastAsia="Times New Roman" w:hAnsi="PermianSerifTypeface" w:cs="Arial"/>
          <w:b/>
          <w:bCs/>
          <w:lang w:val="ro-MD" w:eastAsia="ro-MD"/>
        </w:rPr>
        <w:t>Article</w:t>
      </w:r>
      <w:proofErr w:type="spellEnd"/>
      <w:r w:rsidR="00B64138" w:rsidRPr="00EF13D2">
        <w:rPr>
          <w:rFonts w:ascii="PermianSerifTypeface" w:eastAsia="Times New Roman" w:hAnsi="PermianSerifTypeface" w:cs="Arial"/>
          <w:b/>
          <w:bCs/>
          <w:lang w:val="ro-MD" w:eastAsia="ro-MD"/>
        </w:rPr>
        <w:t xml:space="preserve"> 2 para. (2) item 11) </w:t>
      </w:r>
      <w:proofErr w:type="spellStart"/>
      <w:r w:rsidR="00B64138" w:rsidRPr="00EF13D2">
        <w:rPr>
          <w:rFonts w:ascii="PermianSerifTypeface" w:eastAsia="Times New Roman" w:hAnsi="PermianSerifTypeface" w:cs="Arial"/>
          <w:b/>
          <w:bCs/>
          <w:lang w:val="ro-MD" w:eastAsia="ro-MD"/>
        </w:rPr>
        <w:t>lett</w:t>
      </w:r>
      <w:proofErr w:type="spellEnd"/>
      <w:r w:rsidR="00B64138" w:rsidRPr="00EF13D2">
        <w:rPr>
          <w:rFonts w:ascii="PermianSerifTypeface" w:eastAsia="Times New Roman" w:hAnsi="PermianSerifTypeface" w:cs="Arial"/>
          <w:b/>
          <w:bCs/>
          <w:lang w:val="ro-MD" w:eastAsia="ro-MD"/>
        </w:rPr>
        <w:t xml:space="preserve">. a) </w:t>
      </w:r>
      <w:proofErr w:type="spellStart"/>
      <w:r w:rsidR="00B64138" w:rsidRPr="00EF13D2">
        <w:rPr>
          <w:rFonts w:ascii="PermianSerifTypeface" w:eastAsia="Times New Roman" w:hAnsi="PermianSerifTypeface" w:cs="Arial"/>
          <w:b/>
          <w:bCs/>
          <w:lang w:val="ro-MD" w:eastAsia="ro-MD"/>
        </w:rPr>
        <w:t>and</w:t>
      </w:r>
      <w:proofErr w:type="spellEnd"/>
      <w:r w:rsidR="00B64138" w:rsidRPr="00EF13D2">
        <w:rPr>
          <w:rFonts w:ascii="PermianSerifTypeface" w:eastAsia="Times New Roman" w:hAnsi="PermianSerifTypeface" w:cs="Arial"/>
          <w:b/>
          <w:bCs/>
          <w:lang w:val="ro-MD" w:eastAsia="ro-MD"/>
        </w:rPr>
        <w:t xml:space="preserve"> b) of Law </w:t>
      </w:r>
      <w:proofErr w:type="spellStart"/>
      <w:r w:rsidR="00B64138" w:rsidRPr="00EF13D2">
        <w:rPr>
          <w:rFonts w:ascii="PermianSerifTypeface" w:eastAsia="Times New Roman" w:hAnsi="PermianSerifTypeface" w:cs="Arial"/>
          <w:b/>
          <w:bCs/>
          <w:lang w:val="ro-MD" w:eastAsia="ro-MD"/>
        </w:rPr>
        <w:t>no</w:t>
      </w:r>
      <w:proofErr w:type="spellEnd"/>
      <w:r w:rsidR="00B64138" w:rsidRPr="00EF13D2">
        <w:rPr>
          <w:rFonts w:ascii="PermianSerifTypeface" w:eastAsia="Times New Roman" w:hAnsi="PermianSerifTypeface" w:cs="Arial"/>
          <w:b/>
          <w:bCs/>
          <w:lang w:val="ro-MD" w:eastAsia="ro-MD"/>
        </w:rPr>
        <w:t xml:space="preserve">. 114/2012 on </w:t>
      </w:r>
      <w:proofErr w:type="spellStart"/>
      <w:r w:rsidR="00B64138" w:rsidRPr="00EF13D2">
        <w:rPr>
          <w:rFonts w:ascii="PermianSerifTypeface" w:eastAsia="Times New Roman" w:hAnsi="PermianSerifTypeface" w:cs="Arial"/>
          <w:b/>
          <w:bCs/>
          <w:lang w:val="ro-MD" w:eastAsia="ro-MD"/>
        </w:rPr>
        <w:t>payment</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services</w:t>
      </w:r>
      <w:proofErr w:type="spellEnd"/>
      <w:r w:rsidR="00B64138" w:rsidRPr="00EF13D2">
        <w:rPr>
          <w:rFonts w:ascii="PermianSerifTypeface" w:eastAsia="Times New Roman" w:hAnsi="PermianSerifTypeface" w:cs="Arial"/>
          <w:b/>
          <w:bCs/>
          <w:lang w:val="ro-MD" w:eastAsia="ro-MD"/>
        </w:rPr>
        <w:t xml:space="preserve"> </w:t>
      </w:r>
      <w:proofErr w:type="spellStart"/>
      <w:r w:rsidR="00B64138" w:rsidRPr="00EF13D2">
        <w:rPr>
          <w:rFonts w:ascii="PermianSerifTypeface" w:eastAsia="Times New Roman" w:hAnsi="PermianSerifTypeface" w:cs="Arial"/>
          <w:b/>
          <w:bCs/>
          <w:lang w:val="ro-MD" w:eastAsia="ro-MD"/>
        </w:rPr>
        <w:t>and</w:t>
      </w:r>
      <w:proofErr w:type="spellEnd"/>
      <w:r w:rsidR="00B64138" w:rsidRPr="00EF13D2">
        <w:rPr>
          <w:rFonts w:ascii="PermianSerifTypeface" w:eastAsia="Times New Roman" w:hAnsi="PermianSerifTypeface" w:cs="Arial"/>
          <w:b/>
          <w:bCs/>
          <w:lang w:val="ro-MD" w:eastAsia="ro-MD"/>
        </w:rPr>
        <w:t xml:space="preserve"> electronic </w:t>
      </w:r>
      <w:proofErr w:type="spellStart"/>
      <w:r w:rsidR="00B64138" w:rsidRPr="00EF13D2">
        <w:rPr>
          <w:rFonts w:ascii="PermianSerifTypeface" w:eastAsia="Times New Roman" w:hAnsi="PermianSerifTypeface" w:cs="Arial"/>
          <w:b/>
          <w:bCs/>
          <w:lang w:val="ro-MD" w:eastAsia="ro-MD"/>
        </w:rPr>
        <w:t>money</w:t>
      </w:r>
      <w:proofErr w:type="spellEnd"/>
    </w:p>
    <w:p w14:paraId="2414916B" w14:textId="77777777" w:rsidR="00B64138" w:rsidRPr="00EF13D2" w:rsidRDefault="00B64138" w:rsidP="00B64138">
      <w:pPr>
        <w:spacing w:after="0" w:line="240" w:lineRule="auto"/>
        <w:jc w:val="center"/>
        <w:rPr>
          <w:rFonts w:ascii="PermianSerifTypeface" w:eastAsia="Times New Roman" w:hAnsi="PermianSerifTypeface" w:cs="Arial"/>
          <w:b/>
          <w:bCs/>
          <w:lang w:val="ro-MD" w:eastAsia="ro-MD"/>
        </w:rPr>
      </w:pPr>
      <w:r w:rsidRPr="00EF13D2">
        <w:rPr>
          <w:rFonts w:ascii="PermianSerifTypeface" w:eastAsia="Times New Roman" w:hAnsi="PermianSerifTypeface" w:cs="Arial"/>
          <w:b/>
          <w:bCs/>
          <w:lang w:val="ro-MD" w:eastAsia="ro-MD"/>
        </w:rPr>
        <w:t> </w:t>
      </w:r>
    </w:p>
    <w:p w14:paraId="441B8884" w14:textId="4BB6CE67" w:rsidR="00B64138" w:rsidRPr="00EF13D2" w:rsidRDefault="00B64138" w:rsidP="00B64138">
      <w:pPr>
        <w:spacing w:after="0" w:line="240" w:lineRule="auto"/>
        <w:jc w:val="center"/>
        <w:rPr>
          <w:rFonts w:ascii="PermianSerifTypeface" w:eastAsia="Times New Roman" w:hAnsi="PermianSerifTypeface" w:cs="Arial"/>
          <w:b/>
          <w:bCs/>
          <w:lang w:val="ro-MD" w:eastAsia="ro-MD"/>
        </w:rPr>
      </w:pPr>
      <w:proofErr w:type="spellStart"/>
      <w:r w:rsidRPr="00EF13D2">
        <w:rPr>
          <w:rFonts w:ascii="PermianSerifTypeface" w:eastAsia="Times New Roman" w:hAnsi="PermianSerifTypeface" w:cs="Arial"/>
          <w:b/>
          <w:bCs/>
          <w:lang w:val="ro-MD" w:eastAsia="ro-MD"/>
        </w:rPr>
        <w:t>n</w:t>
      </w:r>
      <w:r w:rsidRPr="00EF13D2">
        <w:rPr>
          <w:rFonts w:ascii="PermianSerifTypeface" w:eastAsia="Times New Roman" w:hAnsi="PermianSerifTypeface" w:cs="Arial"/>
          <w:b/>
          <w:bCs/>
          <w:lang w:val="ro-MD" w:eastAsia="ro-MD"/>
        </w:rPr>
        <w:t>o</w:t>
      </w:r>
      <w:proofErr w:type="spellEnd"/>
      <w:r w:rsidRPr="00EF13D2">
        <w:rPr>
          <w:rFonts w:ascii="PermianSerifTypeface" w:eastAsia="Times New Roman" w:hAnsi="PermianSerifTypeface" w:cs="Arial"/>
          <w:b/>
          <w:bCs/>
          <w:lang w:val="ro-MD" w:eastAsia="ro-MD"/>
        </w:rPr>
        <w:t>. 189  </w:t>
      </w:r>
      <w:r w:rsidRPr="00EF13D2">
        <w:rPr>
          <w:rFonts w:ascii="PermianSerifTypeface" w:eastAsia="Times New Roman" w:hAnsi="PermianSerifTypeface" w:cs="Arial"/>
          <w:b/>
          <w:bCs/>
          <w:lang w:val="ro-MD" w:eastAsia="ro-MD"/>
        </w:rPr>
        <w:t>of</w:t>
      </w:r>
      <w:r w:rsidRPr="00EF13D2">
        <w:rPr>
          <w:rFonts w:ascii="PermianSerifTypeface" w:eastAsia="Times New Roman" w:hAnsi="PermianSerifTypeface" w:cs="Arial"/>
          <w:b/>
          <w:bCs/>
          <w:lang w:val="ro-MD" w:eastAsia="ro-MD"/>
        </w:rPr>
        <w:t>  09.07.2024</w:t>
      </w:r>
    </w:p>
    <w:p w14:paraId="6F511734" w14:textId="01A6DFAA" w:rsidR="00B64138" w:rsidRPr="00EF13D2" w:rsidRDefault="00B64138" w:rsidP="00B64138">
      <w:pPr>
        <w:spacing w:after="0" w:line="240" w:lineRule="auto"/>
        <w:jc w:val="center"/>
        <w:rPr>
          <w:rFonts w:ascii="PermianSerifTypeface" w:eastAsia="Times New Roman" w:hAnsi="PermianSerifTypeface" w:cs="Arial"/>
          <w:lang w:val="ro-MD" w:eastAsia="ro-MD"/>
        </w:rPr>
      </w:pPr>
      <w:r w:rsidRPr="00EF13D2">
        <w:rPr>
          <w:rFonts w:ascii="PermianSerifTypeface" w:eastAsia="Times New Roman" w:hAnsi="PermianSerifTypeface" w:cs="Arial"/>
          <w:lang w:val="ro-MD" w:eastAsia="ro-MD"/>
        </w:rPr>
        <w:t> </w:t>
      </w:r>
      <w:r w:rsidRPr="00EF13D2">
        <w:rPr>
          <w:rFonts w:ascii="PermianSerifTypeface" w:eastAsia="Times New Roman" w:hAnsi="PermianSerifTypeface" w:cs="Arial"/>
          <w:i/>
          <w:iCs/>
          <w:sz w:val="20"/>
          <w:szCs w:val="20"/>
          <w:lang w:val="ro-MD" w:eastAsia="ro-MD"/>
        </w:rPr>
        <w:t>(</w:t>
      </w:r>
      <w:r w:rsidRPr="00EF13D2">
        <w:rPr>
          <w:rFonts w:ascii="PermianSerifTypeface" w:eastAsia="Times New Roman" w:hAnsi="PermianSerifTypeface" w:cs="Arial"/>
          <w:i/>
          <w:iCs/>
          <w:sz w:val="20"/>
          <w:szCs w:val="20"/>
          <w:lang w:val="ro-MD" w:eastAsia="ro-MD"/>
        </w:rPr>
        <w:t xml:space="preserve">in </w:t>
      </w:r>
      <w:proofErr w:type="spellStart"/>
      <w:r w:rsidRPr="00EF13D2">
        <w:rPr>
          <w:rFonts w:ascii="PermianSerifTypeface" w:eastAsia="Times New Roman" w:hAnsi="PermianSerifTypeface" w:cs="Arial"/>
          <w:i/>
          <w:iCs/>
          <w:sz w:val="20"/>
          <w:szCs w:val="20"/>
          <w:lang w:val="ro-MD" w:eastAsia="ro-MD"/>
        </w:rPr>
        <w:t>force</w:t>
      </w:r>
      <w:proofErr w:type="spellEnd"/>
      <w:r w:rsidRPr="00EF13D2">
        <w:rPr>
          <w:rFonts w:ascii="PermianSerifTypeface" w:eastAsia="Times New Roman" w:hAnsi="PermianSerifTypeface" w:cs="Arial"/>
          <w:i/>
          <w:iCs/>
          <w:sz w:val="20"/>
          <w:szCs w:val="20"/>
          <w:lang w:val="ro-MD" w:eastAsia="ro-MD"/>
        </w:rPr>
        <w:t xml:space="preserve"> 18.07.2024)</w:t>
      </w:r>
      <w:r w:rsidRPr="00EF13D2">
        <w:rPr>
          <w:rFonts w:ascii="PermianSerifTypeface" w:eastAsia="Times New Roman" w:hAnsi="PermianSerifTypeface" w:cs="Arial"/>
          <w:lang w:val="ro-MD" w:eastAsia="ro-MD"/>
        </w:rPr>
        <w:t> </w:t>
      </w:r>
    </w:p>
    <w:p w14:paraId="14F40B46" w14:textId="77777777" w:rsidR="00B64138" w:rsidRPr="00EF13D2" w:rsidRDefault="00B64138" w:rsidP="00B64138">
      <w:pPr>
        <w:spacing w:after="0" w:line="240" w:lineRule="auto"/>
        <w:ind w:firstLine="567"/>
        <w:jc w:val="both"/>
        <w:rPr>
          <w:rFonts w:ascii="PermianSerifTypeface" w:eastAsia="Times New Roman" w:hAnsi="PermianSerifTypeface" w:cs="Arial"/>
          <w:lang w:val="ro-MD" w:eastAsia="ro-MD"/>
        </w:rPr>
      </w:pPr>
      <w:r w:rsidRPr="00EF13D2">
        <w:rPr>
          <w:rFonts w:ascii="PermianSerifTypeface" w:eastAsia="Times New Roman" w:hAnsi="PermianSerifTypeface" w:cs="Arial"/>
          <w:lang w:val="ro-MD" w:eastAsia="ro-MD"/>
        </w:rPr>
        <w:t> </w:t>
      </w:r>
    </w:p>
    <w:p w14:paraId="716126C3" w14:textId="3D3FC64A" w:rsidR="00B64138" w:rsidRPr="00EF13D2" w:rsidRDefault="00B64138" w:rsidP="00B64138">
      <w:pPr>
        <w:spacing w:after="0" w:line="240" w:lineRule="auto"/>
        <w:jc w:val="center"/>
        <w:rPr>
          <w:rFonts w:ascii="PermianSerifTypeface" w:eastAsia="Times New Roman" w:hAnsi="PermianSerifTypeface" w:cs="Arial"/>
          <w:sz w:val="20"/>
          <w:szCs w:val="20"/>
          <w:lang w:val="ro-MD" w:eastAsia="ro-MD"/>
        </w:rPr>
      </w:pPr>
      <w:proofErr w:type="spellStart"/>
      <w:r w:rsidRPr="00EF13D2">
        <w:rPr>
          <w:rFonts w:ascii="PermianSerifTypeface" w:eastAsia="Times New Roman" w:hAnsi="PermianSerifTypeface" w:cs="Arial"/>
          <w:sz w:val="20"/>
          <w:szCs w:val="20"/>
          <w:lang w:val="ro-MD" w:eastAsia="ro-MD"/>
        </w:rPr>
        <w:t>Official</w:t>
      </w:r>
      <w:proofErr w:type="spellEnd"/>
      <w:r w:rsidRPr="00EF13D2">
        <w:rPr>
          <w:rFonts w:ascii="PermianSerifTypeface" w:eastAsia="Times New Roman" w:hAnsi="PermianSerifTypeface" w:cs="Arial"/>
          <w:sz w:val="20"/>
          <w:szCs w:val="20"/>
          <w:lang w:val="ro-MD" w:eastAsia="ro-MD"/>
        </w:rPr>
        <w:t xml:space="preserve"> Monitor of </w:t>
      </w:r>
      <w:proofErr w:type="spellStart"/>
      <w:r w:rsidRPr="00EF13D2">
        <w:rPr>
          <w:rFonts w:ascii="PermianSerifTypeface" w:eastAsia="Times New Roman" w:hAnsi="PermianSerifTypeface" w:cs="Arial"/>
          <w:sz w:val="20"/>
          <w:szCs w:val="20"/>
          <w:lang w:val="ro-MD" w:eastAsia="ro-MD"/>
        </w:rPr>
        <w:t>the</w:t>
      </w:r>
      <w:proofErr w:type="spellEnd"/>
      <w:r w:rsidRPr="00EF13D2">
        <w:rPr>
          <w:rFonts w:ascii="PermianSerifTypeface" w:eastAsia="Times New Roman" w:hAnsi="PermianSerifTypeface" w:cs="Arial"/>
          <w:sz w:val="20"/>
          <w:szCs w:val="20"/>
          <w:lang w:val="ro-MD" w:eastAsia="ro-MD"/>
        </w:rPr>
        <w:t xml:space="preserve"> Republic of Moldova </w:t>
      </w:r>
      <w:proofErr w:type="spellStart"/>
      <w:r w:rsidRPr="00EF13D2">
        <w:rPr>
          <w:rFonts w:ascii="PermianSerifTypeface" w:eastAsia="Times New Roman" w:hAnsi="PermianSerifTypeface" w:cs="Arial"/>
          <w:sz w:val="20"/>
          <w:szCs w:val="20"/>
          <w:lang w:val="ro-MD" w:eastAsia="ro-MD"/>
        </w:rPr>
        <w:t>n</w:t>
      </w:r>
      <w:r w:rsidRPr="00EF13D2">
        <w:rPr>
          <w:rFonts w:ascii="PermianSerifTypeface" w:eastAsia="Times New Roman" w:hAnsi="PermianSerifTypeface" w:cs="Arial"/>
          <w:sz w:val="20"/>
          <w:szCs w:val="20"/>
          <w:lang w:val="ro-MD" w:eastAsia="ro-MD"/>
        </w:rPr>
        <w:t>o</w:t>
      </w:r>
      <w:proofErr w:type="spellEnd"/>
      <w:r w:rsidRPr="00EF13D2">
        <w:rPr>
          <w:rFonts w:ascii="PermianSerifTypeface" w:eastAsia="Times New Roman" w:hAnsi="PermianSerifTypeface" w:cs="Arial"/>
          <w:sz w:val="20"/>
          <w:szCs w:val="20"/>
          <w:lang w:val="ro-MD" w:eastAsia="ro-MD"/>
        </w:rPr>
        <w:t>. 308-310 art. 575 </w:t>
      </w:r>
      <w:r w:rsidRPr="00EF13D2">
        <w:rPr>
          <w:rFonts w:ascii="PermianSerifTypeface" w:eastAsia="Times New Roman" w:hAnsi="PermianSerifTypeface" w:cs="Arial"/>
          <w:sz w:val="20"/>
          <w:szCs w:val="20"/>
          <w:lang w:val="ro-MD" w:eastAsia="ro-MD"/>
        </w:rPr>
        <w:t>of</w:t>
      </w:r>
      <w:r w:rsidRPr="00EF13D2">
        <w:rPr>
          <w:rFonts w:ascii="PermianSerifTypeface" w:eastAsia="Times New Roman" w:hAnsi="PermianSerifTypeface" w:cs="Arial"/>
          <w:sz w:val="20"/>
          <w:szCs w:val="20"/>
          <w:lang w:val="ro-MD" w:eastAsia="ro-MD"/>
        </w:rPr>
        <w:t> 18.07.2024</w:t>
      </w:r>
    </w:p>
    <w:p w14:paraId="3718F8BB" w14:textId="77777777" w:rsidR="00B64138" w:rsidRPr="00EF13D2" w:rsidRDefault="00B64138" w:rsidP="00B64138">
      <w:pPr>
        <w:spacing w:after="0" w:line="240" w:lineRule="auto"/>
        <w:ind w:firstLine="567"/>
        <w:jc w:val="both"/>
        <w:rPr>
          <w:rFonts w:ascii="PermianSerifTypeface" w:eastAsia="Times New Roman" w:hAnsi="PermianSerifTypeface" w:cs="Arial"/>
          <w:lang w:val="ro-MD" w:eastAsia="ro-MD"/>
        </w:rPr>
      </w:pPr>
      <w:r w:rsidRPr="00EF13D2">
        <w:rPr>
          <w:rFonts w:ascii="PermianSerifTypeface" w:eastAsia="Times New Roman" w:hAnsi="PermianSerifTypeface" w:cs="Arial"/>
          <w:lang w:val="ro-MD" w:eastAsia="ro-MD"/>
        </w:rPr>
        <w:t> </w:t>
      </w:r>
    </w:p>
    <w:p w14:paraId="540AFB5E" w14:textId="77777777" w:rsidR="00B64138" w:rsidRPr="00EF13D2" w:rsidRDefault="00B64138" w:rsidP="00B64138">
      <w:pPr>
        <w:spacing w:after="0" w:line="240" w:lineRule="auto"/>
        <w:jc w:val="center"/>
        <w:rPr>
          <w:rFonts w:ascii="PermianSerifTypeface" w:eastAsia="Times New Roman" w:hAnsi="PermianSerifTypeface" w:cs="Arial"/>
          <w:lang w:val="ro-MD" w:eastAsia="ro-MD"/>
        </w:rPr>
      </w:pPr>
      <w:r w:rsidRPr="00EF13D2">
        <w:rPr>
          <w:rFonts w:ascii="PermianSerifTypeface" w:eastAsia="Times New Roman" w:hAnsi="PermianSerifTypeface" w:cs="Arial"/>
          <w:lang w:val="ro-MD" w:eastAsia="ro-MD"/>
        </w:rPr>
        <w:t>* * *</w:t>
      </w:r>
    </w:p>
    <w:p w14:paraId="44178C31" w14:textId="77777777" w:rsidR="00F71B46" w:rsidRPr="00EF13D2" w:rsidRDefault="00F71B46" w:rsidP="00707C75">
      <w:pPr>
        <w:ind w:firstLine="426"/>
        <w:jc w:val="right"/>
        <w:rPr>
          <w:rFonts w:ascii="PermianSerifTypeface" w:hAnsi="PermianSerifTypeface"/>
        </w:rPr>
      </w:pPr>
    </w:p>
    <w:p w14:paraId="4E1F6C97" w14:textId="3B40E82B" w:rsidR="00534AE0" w:rsidRPr="00EF13D2" w:rsidRDefault="00534AE0" w:rsidP="00707C75">
      <w:pPr>
        <w:ind w:firstLine="426"/>
        <w:jc w:val="right"/>
        <w:rPr>
          <w:rFonts w:ascii="PermianSerifTypeface" w:hAnsi="PermianSerifTypeface"/>
        </w:rPr>
      </w:pPr>
      <w:r w:rsidRPr="00EF13D2">
        <w:rPr>
          <w:rFonts w:ascii="PermianSerifTypeface" w:hAnsi="PermianSerifTypeface"/>
        </w:rPr>
        <w:t>Ap</w:t>
      </w:r>
      <w:r w:rsidR="009123F0" w:rsidRPr="00EF13D2">
        <w:rPr>
          <w:rFonts w:ascii="PermianSerifTypeface" w:hAnsi="PermianSerifTypeface"/>
        </w:rPr>
        <w:t>proved</w:t>
      </w:r>
    </w:p>
    <w:p w14:paraId="19ADB83C" w14:textId="77777777" w:rsidR="009123F0" w:rsidRPr="00EF13D2" w:rsidRDefault="009123F0" w:rsidP="009123F0">
      <w:pPr>
        <w:tabs>
          <w:tab w:val="left" w:pos="360"/>
        </w:tabs>
        <w:spacing w:after="0"/>
        <w:ind w:firstLine="426"/>
        <w:jc w:val="right"/>
        <w:rPr>
          <w:rFonts w:ascii="PermianSerifTypeface" w:hAnsi="PermianSerifTypeface"/>
        </w:rPr>
      </w:pPr>
      <w:r w:rsidRPr="00EF13D2">
        <w:rPr>
          <w:rFonts w:ascii="PermianSerifTypeface" w:hAnsi="PermianSerifTypeface"/>
        </w:rPr>
        <w:t xml:space="preserve">By Resolution of the Executive Board </w:t>
      </w:r>
    </w:p>
    <w:p w14:paraId="567AD443" w14:textId="3DC3C01C" w:rsidR="00534AE0" w:rsidRPr="00EF13D2" w:rsidRDefault="009123F0" w:rsidP="009123F0">
      <w:pPr>
        <w:tabs>
          <w:tab w:val="left" w:pos="360"/>
        </w:tabs>
        <w:spacing w:after="0"/>
        <w:ind w:firstLine="426"/>
        <w:jc w:val="right"/>
        <w:rPr>
          <w:rFonts w:ascii="PermianSerifTypeface" w:hAnsi="PermianSerifTypeface"/>
        </w:rPr>
      </w:pPr>
      <w:r w:rsidRPr="00EF13D2">
        <w:rPr>
          <w:rFonts w:ascii="PermianSerifTypeface" w:hAnsi="PermianSerifTypeface"/>
        </w:rPr>
        <w:t>of the National Bank of Moldova</w:t>
      </w:r>
      <w:r w:rsidR="00534AE0" w:rsidRPr="00EF13D2">
        <w:rPr>
          <w:rFonts w:ascii="PermianSerifTypeface" w:hAnsi="PermianSerifTypeface"/>
        </w:rPr>
        <w:t xml:space="preserve"> </w:t>
      </w:r>
    </w:p>
    <w:p w14:paraId="412DE2DC" w14:textId="45453D85" w:rsidR="00534AE0" w:rsidRPr="00EF13D2" w:rsidRDefault="00534AE0" w:rsidP="00707C75">
      <w:pPr>
        <w:tabs>
          <w:tab w:val="left" w:pos="360"/>
        </w:tabs>
        <w:spacing w:after="0"/>
        <w:ind w:firstLine="426"/>
        <w:jc w:val="right"/>
        <w:rPr>
          <w:rStyle w:val="Strong"/>
          <w:rFonts w:ascii="PermianSerifTypeface" w:hAnsi="PermianSerifTypeface"/>
          <w:b w:val="0"/>
          <w:bCs w:val="0"/>
        </w:rPr>
      </w:pPr>
      <w:r w:rsidRPr="00EF13D2">
        <w:rPr>
          <w:rFonts w:ascii="PermianSerifTypeface" w:hAnsi="PermianSerifTypeface"/>
        </w:rPr>
        <w:t>n</w:t>
      </w:r>
      <w:r w:rsidR="009123F0" w:rsidRPr="00EF13D2">
        <w:rPr>
          <w:rFonts w:ascii="PermianSerifTypeface" w:hAnsi="PermianSerifTypeface"/>
        </w:rPr>
        <w:t>o</w:t>
      </w:r>
      <w:r w:rsidRPr="00EF13D2">
        <w:rPr>
          <w:rFonts w:ascii="PermianSerifTypeface" w:hAnsi="PermianSerifTypeface"/>
        </w:rPr>
        <w:t xml:space="preserve">. </w:t>
      </w:r>
      <w:r w:rsidR="00B85172" w:rsidRPr="00EF13D2">
        <w:rPr>
          <w:rFonts w:ascii="PermianSerifTypeface" w:hAnsi="PermianSerifTypeface"/>
        </w:rPr>
        <w:t xml:space="preserve">189 </w:t>
      </w:r>
      <w:r w:rsidR="009123F0" w:rsidRPr="00EF13D2">
        <w:rPr>
          <w:rFonts w:ascii="PermianSerifTypeface" w:hAnsi="PermianSerifTypeface"/>
        </w:rPr>
        <w:t>of</w:t>
      </w:r>
      <w:r w:rsidRPr="00EF13D2">
        <w:rPr>
          <w:rFonts w:ascii="PermianSerifTypeface" w:hAnsi="PermianSerifTypeface"/>
        </w:rPr>
        <w:t xml:space="preserve"> </w:t>
      </w:r>
      <w:r w:rsidR="00B85172" w:rsidRPr="00EF13D2">
        <w:rPr>
          <w:rFonts w:ascii="PermianSerifTypeface" w:hAnsi="PermianSerifTypeface"/>
        </w:rPr>
        <w:t>09.07.</w:t>
      </w:r>
      <w:r w:rsidRPr="00EF13D2">
        <w:rPr>
          <w:rFonts w:ascii="PermianSerifTypeface" w:hAnsi="PermianSerifTypeface"/>
        </w:rPr>
        <w:t>202</w:t>
      </w:r>
      <w:r w:rsidR="00081285" w:rsidRPr="00EF13D2">
        <w:rPr>
          <w:rFonts w:ascii="PermianSerifTypeface" w:hAnsi="PermianSerifTypeface"/>
        </w:rPr>
        <w:t>4</w:t>
      </w:r>
    </w:p>
    <w:p w14:paraId="1864E791" w14:textId="77777777" w:rsidR="00534AE0" w:rsidRPr="00EF13D2" w:rsidRDefault="00534AE0" w:rsidP="00707C75">
      <w:pPr>
        <w:pStyle w:val="ListParagraph"/>
        <w:ind w:left="0" w:firstLine="426"/>
        <w:rPr>
          <w:rStyle w:val="Strong"/>
          <w:rFonts w:ascii="PermianSerifTypeface" w:hAnsi="PermianSerifTypeface"/>
          <w:i/>
          <w:color w:val="56534F"/>
          <w:sz w:val="14"/>
          <w:shd w:val="clear" w:color="auto" w:fill="FAFAFA"/>
        </w:rPr>
      </w:pPr>
    </w:p>
    <w:p w14:paraId="721470C0" w14:textId="77777777" w:rsidR="00534AE0" w:rsidRPr="00EF13D2" w:rsidRDefault="00534AE0" w:rsidP="00707C75">
      <w:pPr>
        <w:pStyle w:val="ListParagraph"/>
        <w:ind w:left="0" w:firstLine="426"/>
        <w:jc w:val="center"/>
        <w:rPr>
          <w:rStyle w:val="docheader"/>
          <w:rFonts w:ascii="PermianSerifTypeface" w:hAnsi="PermianSerifTypeface"/>
          <w:b/>
          <w:color w:val="000000"/>
        </w:rPr>
      </w:pPr>
    </w:p>
    <w:p w14:paraId="1536761B" w14:textId="7E5552E1" w:rsidR="00534AE0" w:rsidRPr="00EF13D2" w:rsidRDefault="00534AE0" w:rsidP="00707C75">
      <w:pPr>
        <w:pStyle w:val="ListParagraph"/>
        <w:ind w:left="0" w:firstLine="426"/>
        <w:jc w:val="center"/>
        <w:rPr>
          <w:rStyle w:val="docheader"/>
          <w:rFonts w:ascii="PermianSerifTypeface" w:hAnsi="PermianSerifTypeface"/>
          <w:b/>
          <w:color w:val="000000"/>
        </w:rPr>
      </w:pPr>
      <w:r w:rsidRPr="00EF13D2">
        <w:rPr>
          <w:rStyle w:val="docheader"/>
          <w:rFonts w:ascii="PermianSerifTypeface" w:hAnsi="PermianSerifTypeface"/>
          <w:b/>
          <w:color w:val="000000"/>
        </w:rPr>
        <w:t>REGUL</w:t>
      </w:r>
      <w:r w:rsidR="001F69F1" w:rsidRPr="00EF13D2">
        <w:rPr>
          <w:rStyle w:val="docheader"/>
          <w:rFonts w:ascii="PermianSerifTypeface" w:hAnsi="PermianSerifTypeface"/>
          <w:b/>
          <w:color w:val="000000"/>
        </w:rPr>
        <w:t>ATION</w:t>
      </w:r>
    </w:p>
    <w:p w14:paraId="7831E9FD" w14:textId="0C55FB93" w:rsidR="00615504" w:rsidRPr="00EF13D2" w:rsidRDefault="001F69F1" w:rsidP="00615504">
      <w:pPr>
        <w:pStyle w:val="ListParagraph"/>
        <w:ind w:firstLine="426"/>
        <w:jc w:val="center"/>
        <w:rPr>
          <w:rFonts w:ascii="PermianSerifTypeface" w:hAnsi="PermianSerifTypeface"/>
          <w:b/>
          <w:color w:val="000000"/>
        </w:rPr>
      </w:pPr>
      <w:r w:rsidRPr="00EF13D2">
        <w:rPr>
          <w:rFonts w:ascii="PermianSerifTypeface" w:hAnsi="PermianSerifTypeface"/>
          <w:b/>
          <w:color w:val="000000"/>
        </w:rPr>
        <w:t xml:space="preserve">on the notification of activities referred to in Art. 2 para. (2) item 11) </w:t>
      </w:r>
      <w:proofErr w:type="spellStart"/>
      <w:r w:rsidRPr="00EF13D2">
        <w:rPr>
          <w:rFonts w:ascii="PermianSerifTypeface" w:hAnsi="PermianSerifTypeface"/>
          <w:b/>
          <w:color w:val="000000"/>
        </w:rPr>
        <w:t>l</w:t>
      </w:r>
      <w:r w:rsidR="00CB4BAC" w:rsidRPr="00EF13D2">
        <w:rPr>
          <w:rFonts w:ascii="PermianSerifTypeface" w:hAnsi="PermianSerifTypeface"/>
          <w:b/>
          <w:color w:val="000000"/>
        </w:rPr>
        <w:t>et</w:t>
      </w:r>
      <w:r w:rsidRPr="00EF13D2">
        <w:rPr>
          <w:rFonts w:ascii="PermianSerifTypeface" w:hAnsi="PermianSerifTypeface"/>
          <w:b/>
          <w:color w:val="000000"/>
        </w:rPr>
        <w:t>t</w:t>
      </w:r>
      <w:proofErr w:type="spellEnd"/>
      <w:r w:rsidRPr="00EF13D2">
        <w:rPr>
          <w:rFonts w:ascii="PermianSerifTypeface" w:hAnsi="PermianSerifTypeface"/>
          <w:b/>
          <w:color w:val="000000"/>
        </w:rPr>
        <w:t>. a) and b) of Law No. 114/2012 on payment services and electronic money</w:t>
      </w:r>
    </w:p>
    <w:p w14:paraId="55052BDD" w14:textId="77777777" w:rsidR="00EA7CBF" w:rsidRPr="00EF13D2" w:rsidRDefault="00EA7CBF" w:rsidP="00EA7CBF">
      <w:pPr>
        <w:pStyle w:val="ListParagraph"/>
        <w:ind w:firstLine="426"/>
        <w:jc w:val="center"/>
        <w:rPr>
          <w:rFonts w:ascii="PermianSerifTypeface" w:hAnsi="PermianSerifTypeface"/>
          <w:b/>
          <w:color w:val="000000"/>
        </w:rPr>
      </w:pPr>
    </w:p>
    <w:p w14:paraId="695F33A9" w14:textId="21421055" w:rsidR="00534AE0" w:rsidRPr="00EF13D2" w:rsidRDefault="00534AE0" w:rsidP="00707C75">
      <w:pPr>
        <w:pStyle w:val="ListParagraph"/>
        <w:ind w:left="0" w:firstLine="426"/>
        <w:jc w:val="center"/>
        <w:rPr>
          <w:rFonts w:ascii="PermianSerifTypeface" w:hAnsi="PermianSerifTypeface"/>
          <w:b/>
        </w:rPr>
      </w:pPr>
      <w:r w:rsidRPr="00EF13D2">
        <w:rPr>
          <w:rFonts w:ascii="PermianSerifTypeface" w:hAnsi="PermianSerifTypeface"/>
          <w:b/>
        </w:rPr>
        <w:t>C</w:t>
      </w:r>
      <w:r w:rsidR="001F69F1" w:rsidRPr="00EF13D2">
        <w:rPr>
          <w:rFonts w:ascii="PermianSerifTypeface" w:hAnsi="PermianSerifTypeface"/>
          <w:b/>
        </w:rPr>
        <w:t xml:space="preserve">hapter </w:t>
      </w:r>
      <w:r w:rsidRPr="00EF13D2">
        <w:rPr>
          <w:rFonts w:ascii="PermianSerifTypeface" w:hAnsi="PermianSerifTypeface"/>
          <w:b/>
        </w:rPr>
        <w:t>I</w:t>
      </w:r>
    </w:p>
    <w:p w14:paraId="044DC5D8" w14:textId="14FF4B7C" w:rsidR="00534AE0" w:rsidRPr="00EF13D2" w:rsidRDefault="001F69F1" w:rsidP="00707C75">
      <w:pPr>
        <w:pStyle w:val="ListParagraph"/>
        <w:ind w:left="0" w:firstLine="426"/>
        <w:jc w:val="center"/>
        <w:rPr>
          <w:rFonts w:ascii="PermianSerifTypeface" w:hAnsi="PermianSerifTypeface"/>
          <w:b/>
        </w:rPr>
      </w:pPr>
      <w:r w:rsidRPr="00EF13D2">
        <w:rPr>
          <w:rFonts w:ascii="PermianSerifTypeface" w:hAnsi="PermianSerifTypeface"/>
          <w:b/>
        </w:rPr>
        <w:t>GENERAL PROVISIONS</w:t>
      </w:r>
    </w:p>
    <w:p w14:paraId="5EBCAA63" w14:textId="0D6CEC16" w:rsidR="00C03EBF" w:rsidRPr="00EF13D2" w:rsidRDefault="00D44CF1" w:rsidP="0080208A">
      <w:pPr>
        <w:pStyle w:val="NormalWeb"/>
        <w:numPr>
          <w:ilvl w:val="0"/>
          <w:numId w:val="2"/>
        </w:numPr>
        <w:tabs>
          <w:tab w:val="left" w:pos="426"/>
          <w:tab w:val="left" w:pos="851"/>
          <w:tab w:val="left" w:pos="993"/>
          <w:tab w:val="left" w:pos="1276"/>
        </w:tabs>
        <w:spacing w:after="120"/>
        <w:ind w:left="0" w:firstLine="426"/>
        <w:jc w:val="both"/>
        <w:rPr>
          <w:rFonts w:ascii="PermianSerifTypeface" w:hAnsi="PermianSerifTypeface"/>
          <w:sz w:val="22"/>
          <w:szCs w:val="22"/>
        </w:rPr>
      </w:pPr>
      <w:r w:rsidRPr="00EF13D2">
        <w:rPr>
          <w:rFonts w:ascii="PermianSerifTypeface" w:hAnsi="PermianSerifTypeface"/>
          <w:sz w:val="22"/>
          <w:szCs w:val="22"/>
        </w:rPr>
        <w:t xml:space="preserve">The Regulation on the notification of activities referred to in Art. 2 para. (2) item 11) </w:t>
      </w:r>
      <w:proofErr w:type="spellStart"/>
      <w:r w:rsidRPr="00EF13D2">
        <w:rPr>
          <w:rFonts w:ascii="PermianSerifTypeface" w:hAnsi="PermianSerifTypeface"/>
          <w:sz w:val="22"/>
          <w:szCs w:val="22"/>
        </w:rPr>
        <w:t>l</w:t>
      </w:r>
      <w:r w:rsidR="00CB4BAC" w:rsidRPr="00EF13D2">
        <w:rPr>
          <w:rFonts w:ascii="PermianSerifTypeface" w:hAnsi="PermianSerifTypeface"/>
          <w:sz w:val="22"/>
          <w:szCs w:val="22"/>
        </w:rPr>
        <w:t>ett</w:t>
      </w:r>
      <w:proofErr w:type="spellEnd"/>
      <w:r w:rsidRPr="00EF13D2">
        <w:rPr>
          <w:rFonts w:ascii="PermianSerifTypeface" w:hAnsi="PermianSerifTypeface"/>
          <w:sz w:val="22"/>
          <w:szCs w:val="22"/>
        </w:rPr>
        <w:t xml:space="preserve">. a) and b) of Law No. 114/2012 on payment services and electronic money (hereinafter - Regulation) shall apply to persons intending to carry out or carrying out any of the activities falling under the provisions of Art. 2 para. (2) item 11) </w:t>
      </w:r>
      <w:proofErr w:type="spellStart"/>
      <w:r w:rsidRPr="00EF13D2">
        <w:rPr>
          <w:rFonts w:ascii="PermianSerifTypeface" w:hAnsi="PermianSerifTypeface"/>
          <w:sz w:val="22"/>
          <w:szCs w:val="22"/>
        </w:rPr>
        <w:t>l</w:t>
      </w:r>
      <w:r w:rsidR="00CB4BAC" w:rsidRPr="00EF13D2">
        <w:rPr>
          <w:rFonts w:ascii="PermianSerifTypeface" w:hAnsi="PermianSerifTypeface"/>
          <w:sz w:val="22"/>
          <w:szCs w:val="22"/>
        </w:rPr>
        <w:t>ett</w:t>
      </w:r>
      <w:proofErr w:type="spellEnd"/>
      <w:r w:rsidRPr="00EF13D2">
        <w:rPr>
          <w:rFonts w:ascii="PermianSerifTypeface" w:hAnsi="PermianSerifTypeface"/>
          <w:sz w:val="22"/>
          <w:szCs w:val="22"/>
        </w:rPr>
        <w:t>. a) and/or b) of Law No. 114/2012 on payment services and electronic money (hereinafter - Law No. 114/2012). This Regulation transposes the EBA/GL/2022/02 Guide on limited network exclusion under PSD2.</w:t>
      </w:r>
    </w:p>
    <w:p w14:paraId="65D1EC99" w14:textId="3061B414" w:rsidR="00534AE0" w:rsidRPr="00EF13D2" w:rsidRDefault="00D44CF1" w:rsidP="00707C75">
      <w:pPr>
        <w:pStyle w:val="ListParagraph"/>
        <w:numPr>
          <w:ilvl w:val="0"/>
          <w:numId w:val="2"/>
        </w:numPr>
        <w:tabs>
          <w:tab w:val="left" w:pos="284"/>
          <w:tab w:val="left" w:pos="993"/>
          <w:tab w:val="left" w:pos="1276"/>
        </w:tabs>
        <w:spacing w:after="120" w:line="240" w:lineRule="auto"/>
        <w:ind w:left="0" w:firstLine="426"/>
        <w:contextualSpacing w:val="0"/>
        <w:jc w:val="both"/>
        <w:rPr>
          <w:rFonts w:ascii="PermianSerifTypeface" w:hAnsi="PermianSerifTypeface"/>
        </w:rPr>
      </w:pPr>
      <w:r w:rsidRPr="00EF13D2">
        <w:rPr>
          <w:rFonts w:ascii="PermianSerifTypeface" w:hAnsi="PermianSerifTypeface"/>
        </w:rPr>
        <w:t xml:space="preserve">For the purposes of this Regulation, the terms and expressions shall have the meanings assigned to them by Law No. 114/2012. </w:t>
      </w:r>
    </w:p>
    <w:p w14:paraId="09D76D7D" w14:textId="2CE148EC" w:rsidR="00534AE0" w:rsidRPr="00EF13D2" w:rsidRDefault="00534AE0" w:rsidP="00707C75">
      <w:pPr>
        <w:spacing w:after="120" w:line="240" w:lineRule="auto"/>
        <w:ind w:firstLine="426"/>
        <w:jc w:val="center"/>
        <w:rPr>
          <w:rFonts w:ascii="PermianSerifTypeface" w:hAnsi="PermianSerifTypeface"/>
          <w:b/>
        </w:rPr>
      </w:pPr>
      <w:r w:rsidRPr="00EF13D2">
        <w:rPr>
          <w:rFonts w:ascii="PermianSerifTypeface" w:hAnsi="PermianSerifTypeface"/>
          <w:b/>
        </w:rPr>
        <w:t>C</w:t>
      </w:r>
      <w:r w:rsidR="00D44CF1" w:rsidRPr="00EF13D2">
        <w:rPr>
          <w:rFonts w:ascii="PermianSerifTypeface" w:hAnsi="PermianSerifTypeface"/>
          <w:b/>
        </w:rPr>
        <w:t>hapter</w:t>
      </w:r>
      <w:r w:rsidRPr="00EF13D2">
        <w:rPr>
          <w:rFonts w:ascii="PermianSerifTypeface" w:hAnsi="PermianSerifTypeface"/>
          <w:b/>
        </w:rPr>
        <w:t xml:space="preserve"> II</w:t>
      </w:r>
    </w:p>
    <w:p w14:paraId="404EB4E4" w14:textId="77777777" w:rsidR="00D44CF1" w:rsidRPr="00EF13D2" w:rsidRDefault="00CB75B6">
      <w:pPr>
        <w:spacing w:after="120" w:line="240" w:lineRule="auto"/>
        <w:ind w:firstLine="426"/>
        <w:jc w:val="center"/>
        <w:rPr>
          <w:rFonts w:ascii="PermianSerifTypeface" w:hAnsi="PermianSerifTypeface"/>
          <w:b/>
        </w:rPr>
      </w:pPr>
      <w:r w:rsidRPr="00EF13D2" w:rsidDel="00CB75B6">
        <w:rPr>
          <w:rFonts w:ascii="PermianSerifTypeface" w:hAnsi="PermianSerifTypeface"/>
          <w:b/>
        </w:rPr>
        <w:t xml:space="preserve"> </w:t>
      </w:r>
      <w:r w:rsidR="00D44CF1" w:rsidRPr="00EF13D2">
        <w:rPr>
          <w:rFonts w:ascii="PermianSerifTypeface" w:hAnsi="PermianSerifTypeface"/>
          <w:b/>
        </w:rPr>
        <w:t xml:space="preserve">NOTIFICATION REQUIREMENTS FOR INTENDING TO CARRY OUT </w:t>
      </w:r>
    </w:p>
    <w:p w14:paraId="393344A5" w14:textId="1B860B3B" w:rsidR="00D44CF1" w:rsidRPr="00EF13D2" w:rsidRDefault="00D44CF1" w:rsidP="00D44CF1">
      <w:pPr>
        <w:spacing w:after="120" w:line="240" w:lineRule="auto"/>
        <w:ind w:firstLine="426"/>
        <w:jc w:val="center"/>
        <w:rPr>
          <w:rFonts w:ascii="PermianSerifTypeface" w:hAnsi="PermianSerifTypeface"/>
          <w:b/>
        </w:rPr>
      </w:pPr>
      <w:r w:rsidRPr="00EF13D2">
        <w:rPr>
          <w:rFonts w:ascii="PermianSerifTypeface" w:hAnsi="PermianSerifTypeface"/>
          <w:b/>
        </w:rPr>
        <w:t>EXEMPTED ACTIVITIES</w:t>
      </w:r>
    </w:p>
    <w:p w14:paraId="73C6C3C8" w14:textId="35870424" w:rsidR="00B54FA8" w:rsidRPr="00EF13D2" w:rsidRDefault="00D63579" w:rsidP="00B54FA8">
      <w:pPr>
        <w:spacing w:after="120" w:line="240" w:lineRule="auto"/>
        <w:ind w:firstLine="426"/>
        <w:jc w:val="center"/>
        <w:rPr>
          <w:rFonts w:ascii="PermianSerifTypeface" w:hAnsi="PermianSerifTypeface"/>
          <w:b/>
        </w:rPr>
      </w:pPr>
      <w:r w:rsidRPr="00EF13D2">
        <w:rPr>
          <w:rFonts w:ascii="PermianSerifTypeface" w:hAnsi="PermianSerifTypeface"/>
          <w:b/>
        </w:rPr>
        <w:t xml:space="preserve"> </w:t>
      </w:r>
      <w:bookmarkStart w:id="0" w:name="_Hlk138327424"/>
      <w:r w:rsidR="00B54FA8" w:rsidRPr="00EF13D2">
        <w:rPr>
          <w:rFonts w:ascii="PermianSerifTypeface" w:hAnsi="PermianSerifTypeface"/>
          <w:b/>
        </w:rPr>
        <w:t>Sec</w:t>
      </w:r>
      <w:r w:rsidR="00D44CF1" w:rsidRPr="00EF13D2">
        <w:rPr>
          <w:rFonts w:ascii="PermianSerifTypeface" w:hAnsi="PermianSerifTypeface"/>
          <w:b/>
        </w:rPr>
        <w:t>tion</w:t>
      </w:r>
      <w:r w:rsidR="00B54FA8" w:rsidRPr="00EF13D2">
        <w:rPr>
          <w:rFonts w:ascii="PermianSerifTypeface" w:hAnsi="PermianSerifTypeface"/>
          <w:b/>
        </w:rPr>
        <w:t xml:space="preserve"> 1</w:t>
      </w:r>
    </w:p>
    <w:bookmarkEnd w:id="0"/>
    <w:p w14:paraId="288FFC33" w14:textId="5BB9BA7A" w:rsidR="00534AE0" w:rsidRPr="00EF13D2" w:rsidRDefault="00D44CF1" w:rsidP="002A04AC">
      <w:pPr>
        <w:spacing w:after="120"/>
        <w:ind w:firstLine="426"/>
        <w:jc w:val="center"/>
        <w:rPr>
          <w:rFonts w:ascii="PermianSerifTypeface" w:hAnsi="PermianSerifTypeface"/>
          <w:b/>
        </w:rPr>
      </w:pPr>
      <w:r w:rsidRPr="00EF13D2">
        <w:rPr>
          <w:rFonts w:ascii="PermianSerifTypeface" w:hAnsi="PermianSerifTypeface"/>
          <w:b/>
        </w:rPr>
        <w:t> LIMITED NETWORK OF TRADERS AND/OR SERVICE PROVIDERS</w:t>
      </w:r>
    </w:p>
    <w:p w14:paraId="395C2ACA" w14:textId="26A9BD91" w:rsidR="000E09B5" w:rsidRPr="00EF13D2" w:rsidRDefault="006F6D92" w:rsidP="00EB1621">
      <w:pPr>
        <w:pStyle w:val="ListParagraph"/>
        <w:numPr>
          <w:ilvl w:val="0"/>
          <w:numId w:val="2"/>
        </w:numPr>
        <w:tabs>
          <w:tab w:val="left" w:pos="0"/>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lastRenderedPageBreak/>
        <w:t xml:space="preserve">A person intending to carry out the activity referred to in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a) of Law No. 114/2012 shall commence the activity only after notifying the National Bank of Moldova of the initiation of the respective activity.</w:t>
      </w:r>
    </w:p>
    <w:p w14:paraId="79F72B41" w14:textId="3E8EE746" w:rsidR="006F6D92" w:rsidRPr="00EF13D2" w:rsidRDefault="006F6D92" w:rsidP="006F6D92">
      <w:pPr>
        <w:pStyle w:val="ListParagraph"/>
        <w:numPr>
          <w:ilvl w:val="0"/>
          <w:numId w:val="2"/>
        </w:numPr>
        <w:tabs>
          <w:tab w:val="left" w:pos="0"/>
          <w:tab w:val="left" w:pos="709"/>
          <w:tab w:val="left" w:pos="993"/>
        </w:tabs>
        <w:spacing w:after="0" w:line="240" w:lineRule="auto"/>
        <w:ind w:left="0" w:firstLine="426"/>
        <w:jc w:val="both"/>
        <w:rPr>
          <w:rFonts w:ascii="PermianSerifTypeface" w:hAnsi="PermianSerifTypeface"/>
          <w:bCs/>
        </w:rPr>
      </w:pPr>
      <w:bookmarkStart w:id="1" w:name="_Hlk136009166"/>
      <w:r w:rsidRPr="00EF13D2">
        <w:rPr>
          <w:rFonts w:ascii="PermianSerifTypeface" w:hAnsi="PermianSerifTypeface"/>
          <w:bCs/>
        </w:rPr>
        <w:t>The notification referred to in point 3 shall include</w:t>
      </w:r>
      <w:r w:rsidR="002A04AC" w:rsidRPr="00EF13D2">
        <w:rPr>
          <w:rFonts w:ascii="PermianSerifTypeface" w:hAnsi="PermianSerifTypeface"/>
          <w:bCs/>
        </w:rPr>
        <w:t xml:space="preserve"> </w:t>
      </w:r>
      <w:r w:rsidRPr="00EF13D2">
        <w:rPr>
          <w:rFonts w:ascii="PermianSerifTypeface" w:hAnsi="PermianSerifTypeface"/>
          <w:bCs/>
        </w:rPr>
        <w:t>data on the name and premises</w:t>
      </w:r>
      <w:r w:rsidR="002A04AC" w:rsidRPr="00EF13D2">
        <w:rPr>
          <w:rFonts w:ascii="PermianSerifTypeface" w:hAnsi="PermianSerifTypeface"/>
          <w:bCs/>
        </w:rPr>
        <w:t xml:space="preserve">/domicile </w:t>
      </w:r>
      <w:r w:rsidRPr="00EF13D2">
        <w:rPr>
          <w:rFonts w:ascii="PermianSerifTypeface" w:hAnsi="PermianSerifTypeface"/>
          <w:bCs/>
        </w:rPr>
        <w:t>of the person, a detailed description of the activities/services to be offered, specifying that the goods and services are provided under a common brand characterizing the limited network and providing an appropriate visual manifestation to the customer, the specification of the exemption under which the activity is deemed to be carried out, and the following relevant information and documents:</w:t>
      </w:r>
    </w:p>
    <w:bookmarkEnd w:id="1"/>
    <w:p w14:paraId="583165CE" w14:textId="42059F82" w:rsidR="00AF67A4" w:rsidRPr="00EF13D2" w:rsidRDefault="006F6D92"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 xml:space="preserve">The volume and value of annual payment transactions to be </w:t>
      </w:r>
      <w:proofErr w:type="gramStart"/>
      <w:r w:rsidRPr="00EF13D2">
        <w:rPr>
          <w:rFonts w:ascii="PermianSerifTypeface" w:hAnsi="PermianSerifTypeface"/>
          <w:bCs/>
        </w:rPr>
        <w:t>made;</w:t>
      </w:r>
      <w:proofErr w:type="gramEnd"/>
    </w:p>
    <w:p w14:paraId="0A6C4A76" w14:textId="2231959A" w:rsidR="00AF67A4" w:rsidRPr="00EF13D2" w:rsidRDefault="006F6D92"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The maximum amount to be credited in instruments</w:t>
      </w:r>
      <w:r w:rsidR="00B85172" w:rsidRPr="00EF13D2">
        <w:rPr>
          <w:rFonts w:ascii="PermianSerifTypeface" w:hAnsi="PermianSerifTypeface"/>
          <w:bCs/>
        </w:rPr>
        <w:t>/</w:t>
      </w:r>
      <w:proofErr w:type="gramStart"/>
      <w:r w:rsidR="00B85172" w:rsidRPr="00EF13D2">
        <w:rPr>
          <w:rFonts w:ascii="PermianSerifTypeface" w:hAnsi="PermianSerifTypeface"/>
          <w:bCs/>
        </w:rPr>
        <w:t>devices</w:t>
      </w:r>
      <w:r w:rsidRPr="00EF13D2">
        <w:rPr>
          <w:rFonts w:ascii="PermianSerifTypeface" w:hAnsi="PermianSerifTypeface"/>
          <w:bCs/>
        </w:rPr>
        <w:t>;</w:t>
      </w:r>
      <w:proofErr w:type="gramEnd"/>
    </w:p>
    <w:p w14:paraId="3CDDEE37" w14:textId="011580F5" w:rsidR="00AF67A4" w:rsidRPr="00EF13D2" w:rsidRDefault="00317FEB" w:rsidP="00317FEB">
      <w:pPr>
        <w:pStyle w:val="ListParagraph"/>
        <w:numPr>
          <w:ilvl w:val="0"/>
          <w:numId w:val="12"/>
        </w:numPr>
        <w:tabs>
          <w:tab w:val="left" w:pos="0"/>
          <w:tab w:val="left" w:pos="709"/>
          <w:tab w:val="left" w:pos="993"/>
        </w:tabs>
        <w:ind w:left="0" w:firstLine="426"/>
        <w:jc w:val="both"/>
        <w:rPr>
          <w:rFonts w:ascii="PermianSerifTypeface" w:hAnsi="PermianSerifTypeface"/>
          <w:bCs/>
        </w:rPr>
      </w:pPr>
      <w:r w:rsidRPr="00EF13D2">
        <w:rPr>
          <w:rFonts w:ascii="PermianSerifTypeface" w:hAnsi="PermianSerifTypeface"/>
          <w:bCs/>
        </w:rPr>
        <w:t xml:space="preserve">The maximum number of instruments to be </w:t>
      </w:r>
      <w:proofErr w:type="gramStart"/>
      <w:r w:rsidRPr="00EF13D2">
        <w:rPr>
          <w:rFonts w:ascii="PermianSerifTypeface" w:hAnsi="PermianSerifTypeface"/>
          <w:bCs/>
        </w:rPr>
        <w:t>issued;</w:t>
      </w:r>
      <w:proofErr w:type="gramEnd"/>
    </w:p>
    <w:p w14:paraId="534BE47E" w14:textId="47480D81" w:rsidR="00AF67A4" w:rsidRPr="00EF13D2" w:rsidRDefault="00317FEB"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A description of the risks that the customer may incur when using the instrument</w:t>
      </w:r>
      <w:r w:rsidR="00974FC4" w:rsidRPr="00EF13D2">
        <w:rPr>
          <w:rFonts w:ascii="PermianSerifTypeface" w:hAnsi="PermianSerifTypeface"/>
          <w:bCs/>
        </w:rPr>
        <w:t>/</w:t>
      </w:r>
      <w:proofErr w:type="gramStart"/>
      <w:r w:rsidR="00974FC4" w:rsidRPr="00EF13D2">
        <w:rPr>
          <w:rFonts w:ascii="PermianSerifTypeface" w:hAnsi="PermianSerifTypeface"/>
          <w:bCs/>
        </w:rPr>
        <w:t>device</w:t>
      </w:r>
      <w:r w:rsidRPr="00EF13D2">
        <w:rPr>
          <w:rFonts w:ascii="PermianSerifTypeface" w:hAnsi="PermianSerifTypeface"/>
          <w:bCs/>
        </w:rPr>
        <w:t>;</w:t>
      </w:r>
      <w:proofErr w:type="gramEnd"/>
    </w:p>
    <w:p w14:paraId="22DCA3A8" w14:textId="6E5ADC56" w:rsidR="00B77B41" w:rsidRPr="00EF13D2" w:rsidRDefault="00317FEB"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The draft commercial agreement between the issuer of the instrument</w:t>
      </w:r>
      <w:r w:rsidR="0029599E" w:rsidRPr="00EF13D2">
        <w:rPr>
          <w:rFonts w:ascii="PermianSerifTypeface" w:hAnsi="PermianSerifTypeface"/>
          <w:bCs/>
        </w:rPr>
        <w:t>/device</w:t>
      </w:r>
      <w:r w:rsidR="0057416F" w:rsidRPr="00EF13D2">
        <w:rPr>
          <w:rFonts w:ascii="PermianSerifTypeface" w:hAnsi="PermianSerifTypeface"/>
          <w:bCs/>
        </w:rPr>
        <w:t xml:space="preserve"> </w:t>
      </w:r>
      <w:r w:rsidRPr="00EF13D2">
        <w:rPr>
          <w:rFonts w:ascii="PermianSerifTypeface" w:hAnsi="PermianSerifTypeface"/>
          <w:bCs/>
        </w:rPr>
        <w:t xml:space="preserve">and each merchant and/or service provider that will operate within the limited </w:t>
      </w:r>
      <w:proofErr w:type="gramStart"/>
      <w:r w:rsidRPr="00EF13D2">
        <w:rPr>
          <w:rFonts w:ascii="PermianSerifTypeface" w:hAnsi="PermianSerifTypeface"/>
          <w:bCs/>
        </w:rPr>
        <w:t>network;</w:t>
      </w:r>
      <w:proofErr w:type="gramEnd"/>
    </w:p>
    <w:p w14:paraId="756998C7" w14:textId="7C58726E" w:rsidR="00465124" w:rsidRPr="00EF13D2" w:rsidRDefault="008737DE"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bookmarkStart w:id="2" w:name="_Ref136010267"/>
      <w:r w:rsidRPr="00EF13D2">
        <w:rPr>
          <w:rFonts w:ascii="PermianSerifTypeface" w:hAnsi="PermianSerifTypeface"/>
          <w:bCs/>
        </w:rPr>
        <w:t>The maximum expected number of traders and/or service providers operating within the limited network, as well as the description of the technical restrictions that will be applied to the instruments</w:t>
      </w:r>
      <w:r w:rsidR="0029599E" w:rsidRPr="00EF13D2">
        <w:rPr>
          <w:rFonts w:ascii="PermianSerifTypeface" w:hAnsi="PermianSerifTypeface"/>
          <w:bCs/>
        </w:rPr>
        <w:t>/devices</w:t>
      </w:r>
      <w:r w:rsidRPr="00EF13D2">
        <w:rPr>
          <w:rFonts w:ascii="PermianSerifTypeface" w:hAnsi="PermianSerifTypeface"/>
          <w:bCs/>
        </w:rPr>
        <w:t xml:space="preserve"> limiting their use to the expected maximum number of traders and/or service </w:t>
      </w:r>
      <w:proofErr w:type="gramStart"/>
      <w:r w:rsidRPr="00EF13D2">
        <w:rPr>
          <w:rFonts w:ascii="PermianSerifTypeface" w:hAnsi="PermianSerifTypeface"/>
          <w:bCs/>
        </w:rPr>
        <w:t>providers;</w:t>
      </w:r>
      <w:proofErr w:type="gramEnd"/>
    </w:p>
    <w:bookmarkEnd w:id="2"/>
    <w:p w14:paraId="35231104" w14:textId="76CEDE20" w:rsidR="00FB473A" w:rsidRPr="00EF13D2" w:rsidRDefault="008737DE" w:rsidP="00EB1621">
      <w:pPr>
        <w:pStyle w:val="ListParagraph"/>
        <w:numPr>
          <w:ilvl w:val="0"/>
          <w:numId w:val="1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The specific geographical area for the provision of goods and services.</w:t>
      </w:r>
    </w:p>
    <w:p w14:paraId="1AA1D280" w14:textId="325E202A" w:rsidR="00D60285" w:rsidRPr="00EF13D2" w:rsidRDefault="008737DE" w:rsidP="008737DE">
      <w:pPr>
        <w:pStyle w:val="ListParagraph"/>
        <w:numPr>
          <w:ilvl w:val="0"/>
          <w:numId w:val="2"/>
        </w:numPr>
        <w:tabs>
          <w:tab w:val="left" w:pos="993"/>
        </w:tabs>
        <w:ind w:left="0" w:firstLine="426"/>
        <w:jc w:val="both"/>
        <w:rPr>
          <w:rFonts w:ascii="PermianSerifTypeface" w:hAnsi="PermianSerifTypeface"/>
          <w:bCs/>
        </w:rPr>
      </w:pPr>
      <w:r w:rsidRPr="00EF13D2">
        <w:rPr>
          <w:rFonts w:ascii="PermianSerifTypeface" w:hAnsi="PermianSerifTypeface"/>
          <w:bCs/>
        </w:rPr>
        <w:t>The notification, accompanied by the documents and information referred to in point 4, shall be submitted, signed by the</w:t>
      </w:r>
      <w:r w:rsidR="00C5273B" w:rsidRPr="00EF13D2">
        <w:rPr>
          <w:rFonts w:ascii="PermianSerifTypeface" w:hAnsi="PermianSerifTypeface"/>
          <w:bCs/>
        </w:rPr>
        <w:t xml:space="preserve"> </w:t>
      </w:r>
      <w:r w:rsidR="003A6BFA" w:rsidRPr="00EF13D2">
        <w:rPr>
          <w:rFonts w:ascii="PermianSerifTypeface" w:hAnsi="PermianSerifTypeface"/>
          <w:bCs/>
        </w:rPr>
        <w:t>governing body/member of the governing body</w:t>
      </w:r>
      <w:r w:rsidRPr="00EF13D2">
        <w:rPr>
          <w:rFonts w:ascii="PermianSerifTypeface" w:hAnsi="PermianSerifTypeface"/>
          <w:bCs/>
        </w:rPr>
        <w:t xml:space="preserve"> or authorized person, on paper at the premises of the National Bank of Moldova or in electronic form by applying the qualified electronic signature in accordance with Law</w:t>
      </w:r>
      <w:r w:rsidR="00E52CB3" w:rsidRPr="00EF13D2">
        <w:rPr>
          <w:rFonts w:ascii="PermianSerifTypeface" w:hAnsi="PermianSerifTypeface"/>
          <w:bCs/>
        </w:rPr>
        <w:t xml:space="preserve"> </w:t>
      </w:r>
      <w:r w:rsidRPr="00EF13D2">
        <w:rPr>
          <w:rFonts w:ascii="PermianSerifTypeface" w:hAnsi="PermianSerifTypeface"/>
          <w:bCs/>
        </w:rPr>
        <w:t>No.</w:t>
      </w:r>
      <w:r w:rsidR="00E52CB3" w:rsidRPr="00EF13D2">
        <w:rPr>
          <w:rFonts w:ascii="PermianSerifTypeface" w:hAnsi="PermianSerifTypeface"/>
          <w:bCs/>
        </w:rPr>
        <w:t xml:space="preserve"> </w:t>
      </w:r>
      <w:r w:rsidRPr="00EF13D2">
        <w:rPr>
          <w:rFonts w:ascii="PermianSerifTypeface" w:hAnsi="PermianSerifTypeface"/>
          <w:bCs/>
        </w:rPr>
        <w:t xml:space="preserve">124/2022 on electronic identification and trust services, to the address: </w:t>
      </w:r>
      <w:hyperlink r:id="rId10" w:history="1">
        <w:r w:rsidR="00E52CB3" w:rsidRPr="00EF13D2">
          <w:rPr>
            <w:rStyle w:val="Hyperlink"/>
            <w:rFonts w:ascii="PermianSerifTypeface" w:hAnsi="PermianSerifTypeface"/>
            <w:bCs/>
          </w:rPr>
          <w:t>reglementare.psp@bnm.md</w:t>
        </w:r>
      </w:hyperlink>
      <w:r w:rsidR="00E52CB3" w:rsidRPr="00EF13D2">
        <w:rPr>
          <w:rFonts w:ascii="PermianSerifTypeface" w:hAnsi="PermianSerifTypeface"/>
          <w:bCs/>
        </w:rPr>
        <w:t xml:space="preserve">, </w:t>
      </w:r>
      <w:r w:rsidRPr="00EF13D2">
        <w:rPr>
          <w:rFonts w:ascii="PermianSerifTypeface" w:hAnsi="PermianSerifTypeface"/>
          <w:bCs/>
        </w:rPr>
        <w:t>or through other electronic channels according to the normative acts of the National Bank of Moldova.</w:t>
      </w:r>
    </w:p>
    <w:p w14:paraId="69886E27" w14:textId="7D78135D" w:rsidR="008A7A8D" w:rsidRPr="00EF13D2" w:rsidRDefault="008737DE" w:rsidP="00EB1621">
      <w:pPr>
        <w:pStyle w:val="ListParagraph"/>
        <w:numPr>
          <w:ilvl w:val="0"/>
          <w:numId w:val="2"/>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A limited network of merchants and/or service providers consists only of shops, retail commercial establishments, order houses, or via the internet as defined by Law No. 231/2010 on internal trade, or a combination thereof.</w:t>
      </w:r>
    </w:p>
    <w:p w14:paraId="1A22563B" w14:textId="106D801A" w:rsidR="0068266D" w:rsidRPr="00EF13D2" w:rsidRDefault="008737DE" w:rsidP="00EB1621">
      <w:pPr>
        <w:pStyle w:val="ListParagraph"/>
        <w:numPr>
          <w:ilvl w:val="0"/>
          <w:numId w:val="2"/>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Instruments</w:t>
      </w:r>
      <w:r w:rsidR="001C34D2" w:rsidRPr="00EF13D2">
        <w:rPr>
          <w:rFonts w:ascii="PermianSerifTypeface" w:hAnsi="PermianSerifTypeface"/>
          <w:bCs/>
        </w:rPr>
        <w:t>/devices</w:t>
      </w:r>
      <w:r w:rsidRPr="00EF13D2">
        <w:rPr>
          <w:rFonts w:ascii="PermianSerifTypeface" w:hAnsi="PermianSerifTypeface"/>
          <w:bCs/>
        </w:rPr>
        <w:t xml:space="preserve"> exempted under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a) of Law No. 114/2012 may not be used within more than one limited network of traders and/or service providers.</w:t>
      </w:r>
    </w:p>
    <w:p w14:paraId="7BBCA099" w14:textId="53D80D3B" w:rsidR="00600A1C" w:rsidRPr="00EF13D2" w:rsidRDefault="008737DE" w:rsidP="00EE22CF">
      <w:pPr>
        <w:pStyle w:val="ListParagraph"/>
        <w:numPr>
          <w:ilvl w:val="0"/>
          <w:numId w:val="2"/>
        </w:numPr>
        <w:tabs>
          <w:tab w:val="left" w:pos="993"/>
        </w:tabs>
        <w:spacing w:line="240" w:lineRule="auto"/>
        <w:ind w:left="0" w:firstLine="426"/>
        <w:jc w:val="both"/>
        <w:rPr>
          <w:rFonts w:ascii="PermianSerifTypeface" w:hAnsi="PermianSerifTypeface"/>
          <w:bCs/>
        </w:rPr>
      </w:pPr>
      <w:r w:rsidRPr="00EF13D2">
        <w:rPr>
          <w:rFonts w:ascii="PermianSerifTypeface" w:hAnsi="PermianSerifTypeface"/>
          <w:bCs/>
        </w:rPr>
        <w:t>Instruments</w:t>
      </w:r>
      <w:r w:rsidR="001C34D2" w:rsidRPr="00EF13D2">
        <w:rPr>
          <w:rFonts w:ascii="PermianSerifTypeface" w:hAnsi="PermianSerifTypeface"/>
          <w:bCs/>
        </w:rPr>
        <w:t>/devices</w:t>
      </w:r>
      <w:r w:rsidR="000D256B" w:rsidRPr="00EF13D2">
        <w:rPr>
          <w:rFonts w:ascii="PermianSerifTypeface" w:hAnsi="PermianSerifTypeface"/>
          <w:bCs/>
        </w:rPr>
        <w:t xml:space="preserve"> </w:t>
      </w:r>
      <w:r w:rsidRPr="00EF13D2">
        <w:rPr>
          <w:rFonts w:ascii="PermianSerifTypeface" w:hAnsi="PermianSerifTypeface"/>
          <w:bCs/>
        </w:rPr>
        <w:t xml:space="preserve">enabling the holder to obtain goods or services marketed at retail only on the premises of the issuer as referred to in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a) of Law No. 114/2012, may be used only in physical shops.</w:t>
      </w:r>
    </w:p>
    <w:p w14:paraId="32E80F2B" w14:textId="22807B95" w:rsidR="00D739F3" w:rsidRPr="00EF13D2" w:rsidRDefault="008737DE" w:rsidP="00EE22CF">
      <w:pPr>
        <w:pStyle w:val="ListParagraph"/>
        <w:numPr>
          <w:ilvl w:val="0"/>
          <w:numId w:val="2"/>
        </w:numPr>
        <w:tabs>
          <w:tab w:val="left" w:pos="993"/>
        </w:tabs>
        <w:spacing w:line="240" w:lineRule="auto"/>
        <w:ind w:left="0" w:firstLine="426"/>
        <w:jc w:val="both"/>
        <w:rPr>
          <w:rFonts w:ascii="PermianSerifTypeface" w:hAnsi="PermianSerifTypeface"/>
          <w:bCs/>
        </w:rPr>
      </w:pPr>
      <w:r w:rsidRPr="00EF13D2">
        <w:rPr>
          <w:rFonts w:ascii="PermianSerifTypeface" w:hAnsi="PermianSerifTypeface"/>
          <w:bCs/>
        </w:rPr>
        <w:t xml:space="preserve">A person intending to carry out the activities referred to in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a) of Law No. 114/2012 shall apply technical and contractual restrictions limiting the use of the instrument</w:t>
      </w:r>
      <w:r w:rsidR="001C34D2" w:rsidRPr="00EF13D2">
        <w:rPr>
          <w:rFonts w:ascii="PermianSerifTypeface" w:hAnsi="PermianSerifTypeface"/>
          <w:bCs/>
        </w:rPr>
        <w:t>/device</w:t>
      </w:r>
      <w:r w:rsidRPr="00EF13D2">
        <w:rPr>
          <w:rFonts w:ascii="PermianSerifTypeface" w:hAnsi="PermianSerifTypeface"/>
          <w:bCs/>
        </w:rPr>
        <w:t>.</w:t>
      </w:r>
      <w:r w:rsidR="00CD3762" w:rsidRPr="00EF13D2">
        <w:rPr>
          <w:rFonts w:ascii="PermianSerifTypeface" w:hAnsi="PermianSerifTypeface"/>
          <w:bCs/>
        </w:rPr>
        <w:t xml:space="preserve"> </w:t>
      </w:r>
    </w:p>
    <w:p w14:paraId="6E375CEE" w14:textId="0BBED2EA" w:rsidR="00D911C0" w:rsidRPr="00EF13D2" w:rsidRDefault="00D911C0" w:rsidP="00D911C0">
      <w:pPr>
        <w:spacing w:after="120" w:line="240" w:lineRule="auto"/>
        <w:ind w:firstLine="426"/>
        <w:jc w:val="center"/>
        <w:rPr>
          <w:rFonts w:ascii="PermianSerifTypeface" w:hAnsi="PermianSerifTypeface"/>
          <w:b/>
        </w:rPr>
      </w:pPr>
      <w:r w:rsidRPr="00EF13D2">
        <w:rPr>
          <w:rFonts w:ascii="PermianSerifTypeface" w:hAnsi="PermianSerifTypeface"/>
          <w:b/>
        </w:rPr>
        <w:t>Sec</w:t>
      </w:r>
      <w:r w:rsidR="008737DE" w:rsidRPr="00EF13D2">
        <w:rPr>
          <w:rFonts w:ascii="PermianSerifTypeface" w:hAnsi="PermianSerifTypeface"/>
          <w:b/>
        </w:rPr>
        <w:t xml:space="preserve">tion </w:t>
      </w:r>
      <w:r w:rsidRPr="00EF13D2">
        <w:rPr>
          <w:rFonts w:ascii="PermianSerifTypeface" w:hAnsi="PermianSerifTypeface"/>
          <w:b/>
        </w:rPr>
        <w:t>2</w:t>
      </w:r>
    </w:p>
    <w:p w14:paraId="31EAF202" w14:textId="1A63199C" w:rsidR="00D911C0" w:rsidRPr="00EF13D2" w:rsidRDefault="008737DE" w:rsidP="008737DE">
      <w:pPr>
        <w:pStyle w:val="ListParagraph"/>
        <w:tabs>
          <w:tab w:val="left" w:pos="993"/>
        </w:tabs>
        <w:ind w:left="426"/>
        <w:jc w:val="center"/>
        <w:rPr>
          <w:rFonts w:ascii="PermianSerifTypeface" w:hAnsi="PermianSerifTypeface"/>
          <w:b/>
        </w:rPr>
      </w:pPr>
      <w:r w:rsidRPr="00EF13D2">
        <w:rPr>
          <w:rFonts w:ascii="PermianSerifTypeface" w:hAnsi="PermianSerifTypeface"/>
          <w:b/>
        </w:rPr>
        <w:t>LIMITED RANGE OF GOODS OR SERVICES</w:t>
      </w:r>
    </w:p>
    <w:p w14:paraId="112BEBDB" w14:textId="77777777" w:rsidR="008737DE" w:rsidRPr="00EF13D2" w:rsidRDefault="008737DE" w:rsidP="008737DE">
      <w:pPr>
        <w:pStyle w:val="ListParagraph"/>
        <w:tabs>
          <w:tab w:val="left" w:pos="993"/>
        </w:tabs>
        <w:ind w:left="426"/>
        <w:jc w:val="center"/>
        <w:rPr>
          <w:rFonts w:ascii="PermianSerifTypeface" w:hAnsi="PermianSerifTypeface"/>
          <w:b/>
        </w:rPr>
      </w:pPr>
    </w:p>
    <w:p w14:paraId="3CC7555F" w14:textId="3611D33A" w:rsidR="00736BE2" w:rsidRPr="00EF13D2" w:rsidRDefault="008737DE" w:rsidP="00385157">
      <w:pPr>
        <w:pStyle w:val="ListParagraph"/>
        <w:numPr>
          <w:ilvl w:val="0"/>
          <w:numId w:val="2"/>
        </w:numPr>
        <w:tabs>
          <w:tab w:val="left" w:pos="993"/>
        </w:tabs>
        <w:spacing w:after="0" w:line="240" w:lineRule="auto"/>
        <w:ind w:left="0" w:firstLine="426"/>
        <w:jc w:val="both"/>
        <w:rPr>
          <w:rFonts w:ascii="PermianSerifTypeface" w:hAnsi="PermianSerifTypeface"/>
          <w:bCs/>
        </w:rPr>
      </w:pPr>
      <w:bookmarkStart w:id="3" w:name="_Ref139378110"/>
      <w:r w:rsidRPr="00EF13D2">
        <w:rPr>
          <w:rFonts w:ascii="PermianSerifTypeface" w:hAnsi="PermianSerifTypeface"/>
          <w:bCs/>
        </w:rPr>
        <w:t xml:space="preserve">A person intending to carry out the activities referred to in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b) of Law No. 114/2012 shall commence the activity only after notifying the National Bank of Moldova of the initiation of the respective activity.</w:t>
      </w:r>
    </w:p>
    <w:p w14:paraId="502EF74B" w14:textId="22A3F0CE" w:rsidR="0090640F" w:rsidRPr="00EF13D2" w:rsidRDefault="008737DE" w:rsidP="00385157">
      <w:pPr>
        <w:pStyle w:val="ListParagraph"/>
        <w:numPr>
          <w:ilvl w:val="0"/>
          <w:numId w:val="2"/>
        </w:numPr>
        <w:tabs>
          <w:tab w:val="left" w:pos="0"/>
          <w:tab w:val="left" w:pos="709"/>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 xml:space="preserve">     </w:t>
      </w:r>
      <w:bookmarkEnd w:id="3"/>
      <w:r w:rsidRPr="00EF13D2">
        <w:rPr>
          <w:rFonts w:ascii="PermianSerifTypeface" w:hAnsi="PermianSerifTypeface"/>
          <w:bCs/>
        </w:rPr>
        <w:t>The notification referred to in point 10 shall include data on the name and premises/domicile of the person, a detailed description of the services to be offered, including a description of the functional relationship between the goods and/or services to be obtained by means of the instrument</w:t>
      </w:r>
      <w:r w:rsidR="00491895" w:rsidRPr="00EF13D2">
        <w:rPr>
          <w:rFonts w:ascii="PermianSerifTypeface" w:hAnsi="PermianSerifTypeface"/>
          <w:bCs/>
        </w:rPr>
        <w:t>/device</w:t>
      </w:r>
      <w:r w:rsidRPr="00EF13D2">
        <w:rPr>
          <w:rFonts w:ascii="PermianSerifTypeface" w:hAnsi="PermianSerifTypeface"/>
          <w:bCs/>
        </w:rPr>
        <w:t xml:space="preserve">, the specification of the exemption under </w:t>
      </w:r>
      <w:r w:rsidRPr="00EF13D2">
        <w:rPr>
          <w:rFonts w:ascii="PermianSerifTypeface" w:hAnsi="PermianSerifTypeface"/>
          <w:bCs/>
        </w:rPr>
        <w:lastRenderedPageBreak/>
        <w:t>which the activity will be performed, and the following relevant information and documents:</w:t>
      </w:r>
    </w:p>
    <w:p w14:paraId="34D1DD2D" w14:textId="37687843" w:rsidR="0090640F" w:rsidRPr="00EF13D2" w:rsidRDefault="008737DE" w:rsidP="00385157">
      <w:pPr>
        <w:pStyle w:val="ListParagraph"/>
        <w:numPr>
          <w:ilvl w:val="0"/>
          <w:numId w:val="13"/>
        </w:numPr>
        <w:tabs>
          <w:tab w:val="left" w:pos="851"/>
        </w:tabs>
        <w:spacing w:after="0" w:line="240" w:lineRule="auto"/>
        <w:ind w:left="0" w:firstLine="426"/>
        <w:jc w:val="both"/>
        <w:rPr>
          <w:rFonts w:ascii="PermianSerifTypeface" w:hAnsi="PermianSerifTypeface"/>
          <w:bCs/>
        </w:rPr>
      </w:pPr>
      <w:r w:rsidRPr="00EF13D2">
        <w:rPr>
          <w:rFonts w:ascii="PermianSerifTypeface" w:hAnsi="PermianSerifTypeface"/>
          <w:bCs/>
        </w:rPr>
        <w:t>The volume and value of payment transactions to be carried out annually using the instrument</w:t>
      </w:r>
      <w:r w:rsidR="00491895" w:rsidRPr="00EF13D2">
        <w:rPr>
          <w:rFonts w:ascii="PermianSerifTypeface" w:hAnsi="PermianSerifTypeface"/>
          <w:bCs/>
        </w:rPr>
        <w:t>/</w:t>
      </w:r>
      <w:proofErr w:type="gramStart"/>
      <w:r w:rsidR="00491895" w:rsidRPr="00EF13D2">
        <w:rPr>
          <w:rFonts w:ascii="PermianSerifTypeface" w:hAnsi="PermianSerifTypeface"/>
          <w:bCs/>
        </w:rPr>
        <w:t>device</w:t>
      </w:r>
      <w:r w:rsidRPr="00EF13D2">
        <w:rPr>
          <w:rFonts w:ascii="PermianSerifTypeface" w:hAnsi="PermianSerifTypeface"/>
          <w:bCs/>
        </w:rPr>
        <w:t>;</w:t>
      </w:r>
      <w:proofErr w:type="gramEnd"/>
    </w:p>
    <w:p w14:paraId="721ED485" w14:textId="4D8B7471" w:rsidR="0090640F" w:rsidRPr="00EF13D2" w:rsidRDefault="008737DE" w:rsidP="008737DE">
      <w:pPr>
        <w:pStyle w:val="ListParagraph"/>
        <w:numPr>
          <w:ilvl w:val="0"/>
          <w:numId w:val="13"/>
        </w:numPr>
        <w:tabs>
          <w:tab w:val="left" w:pos="993"/>
        </w:tabs>
        <w:ind w:left="0" w:firstLine="426"/>
        <w:jc w:val="both"/>
        <w:rPr>
          <w:rFonts w:ascii="PermianSerifTypeface" w:hAnsi="PermianSerifTypeface"/>
          <w:bCs/>
        </w:rPr>
      </w:pPr>
      <w:r w:rsidRPr="00EF13D2">
        <w:rPr>
          <w:rFonts w:ascii="PermianSerifTypeface" w:hAnsi="PermianSerifTypeface"/>
          <w:bCs/>
        </w:rPr>
        <w:t xml:space="preserve">The maximum amount to be credited </w:t>
      </w:r>
      <w:r w:rsidR="000D256B" w:rsidRPr="00EF13D2">
        <w:rPr>
          <w:rFonts w:ascii="PermianSerifTypeface" w:hAnsi="PermianSerifTypeface"/>
          <w:bCs/>
        </w:rPr>
        <w:t>in</w:t>
      </w:r>
      <w:r w:rsidRPr="00EF13D2">
        <w:rPr>
          <w:rFonts w:ascii="PermianSerifTypeface" w:hAnsi="PermianSerifTypeface"/>
          <w:bCs/>
        </w:rPr>
        <w:t xml:space="preserve"> instrument</w:t>
      </w:r>
      <w:r w:rsidR="000D256B" w:rsidRPr="00EF13D2">
        <w:rPr>
          <w:rFonts w:ascii="PermianSerifTypeface" w:hAnsi="PermianSerifTypeface"/>
          <w:bCs/>
        </w:rPr>
        <w:t>s</w:t>
      </w:r>
      <w:r w:rsidR="00491895" w:rsidRPr="00EF13D2">
        <w:rPr>
          <w:rFonts w:ascii="PermianSerifTypeface" w:hAnsi="PermianSerifTypeface"/>
          <w:bCs/>
        </w:rPr>
        <w:t>/</w:t>
      </w:r>
      <w:proofErr w:type="gramStart"/>
      <w:r w:rsidR="00491895" w:rsidRPr="00EF13D2">
        <w:rPr>
          <w:rFonts w:ascii="PermianSerifTypeface" w:hAnsi="PermianSerifTypeface"/>
          <w:bCs/>
        </w:rPr>
        <w:t>devices</w:t>
      </w:r>
      <w:r w:rsidRPr="00EF13D2">
        <w:rPr>
          <w:rFonts w:ascii="PermianSerifTypeface" w:hAnsi="PermianSerifTypeface"/>
          <w:bCs/>
        </w:rPr>
        <w:t>;</w:t>
      </w:r>
      <w:proofErr w:type="gramEnd"/>
    </w:p>
    <w:p w14:paraId="23CBF5F8" w14:textId="6E0C65A6" w:rsidR="0090640F" w:rsidRPr="00EF13D2" w:rsidRDefault="00E52CB3" w:rsidP="00385157">
      <w:pPr>
        <w:pStyle w:val="ListParagraph"/>
        <w:numPr>
          <w:ilvl w:val="0"/>
          <w:numId w:val="13"/>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The maximum number of instruments</w:t>
      </w:r>
      <w:r w:rsidR="00491895" w:rsidRPr="00EF13D2">
        <w:rPr>
          <w:rFonts w:ascii="PermianSerifTypeface" w:hAnsi="PermianSerifTypeface"/>
          <w:bCs/>
        </w:rPr>
        <w:t>/devices</w:t>
      </w:r>
      <w:r w:rsidRPr="00EF13D2">
        <w:rPr>
          <w:rFonts w:ascii="PermianSerifTypeface" w:hAnsi="PermianSerifTypeface"/>
          <w:bCs/>
        </w:rPr>
        <w:t xml:space="preserve"> to be </w:t>
      </w:r>
      <w:proofErr w:type="gramStart"/>
      <w:r w:rsidRPr="00EF13D2">
        <w:rPr>
          <w:rFonts w:ascii="PermianSerifTypeface" w:hAnsi="PermianSerifTypeface"/>
          <w:bCs/>
        </w:rPr>
        <w:t>issued;</w:t>
      </w:r>
      <w:proofErr w:type="gramEnd"/>
    </w:p>
    <w:p w14:paraId="64A91A7C" w14:textId="054BB1EF" w:rsidR="001E1B64" w:rsidRPr="00EF13D2" w:rsidRDefault="00E52CB3" w:rsidP="00385157">
      <w:pPr>
        <w:pStyle w:val="ListParagraph"/>
        <w:numPr>
          <w:ilvl w:val="0"/>
          <w:numId w:val="13"/>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A description of the risks that the customer may incur when using the instrument</w:t>
      </w:r>
      <w:r w:rsidR="00491895" w:rsidRPr="00EF13D2">
        <w:rPr>
          <w:rFonts w:ascii="PermianSerifTypeface" w:hAnsi="PermianSerifTypeface"/>
          <w:bCs/>
        </w:rPr>
        <w:t>/device</w:t>
      </w:r>
      <w:r w:rsidRPr="00EF13D2">
        <w:rPr>
          <w:rFonts w:ascii="PermianSerifTypeface" w:hAnsi="PermianSerifTypeface"/>
          <w:bCs/>
        </w:rPr>
        <w:t>.</w:t>
      </w:r>
    </w:p>
    <w:p w14:paraId="69DCEC8A" w14:textId="72241F32" w:rsidR="00F05F21" w:rsidRPr="00EF13D2" w:rsidRDefault="00E52CB3" w:rsidP="00385157">
      <w:pPr>
        <w:pStyle w:val="ListParagraph"/>
        <w:numPr>
          <w:ilvl w:val="0"/>
          <w:numId w:val="2"/>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rPr>
        <w:t xml:space="preserve">The notification, accompanied by the documents and information referred to in point 11, shall be signed by </w:t>
      </w:r>
      <w:r w:rsidR="003A6BFA" w:rsidRPr="00EF13D2">
        <w:rPr>
          <w:rFonts w:ascii="PermianSerifTypeface" w:hAnsi="PermianSerifTypeface"/>
        </w:rPr>
        <w:t>the governing body/member of the governing body</w:t>
      </w:r>
      <w:r w:rsidR="003A6BFA" w:rsidRPr="00EF13D2" w:rsidDel="003A6BFA">
        <w:rPr>
          <w:rFonts w:ascii="PermianSerifTypeface" w:hAnsi="PermianSerifTypeface"/>
        </w:rPr>
        <w:t xml:space="preserve"> </w:t>
      </w:r>
      <w:r w:rsidRPr="00EF13D2">
        <w:rPr>
          <w:rFonts w:ascii="PermianSerifTypeface" w:hAnsi="PermianSerifTypeface"/>
        </w:rPr>
        <w:t xml:space="preserve">or authorized person, on paper at the premises of the National Bank of Moldova or in electronic form by applying the qualified electronic signature in accordance with Law No. 124/2022 on electronic identification and trust services, to the address: </w:t>
      </w:r>
      <w:hyperlink r:id="rId11" w:history="1">
        <w:r w:rsidRPr="00EF13D2">
          <w:rPr>
            <w:rStyle w:val="Hyperlink"/>
            <w:rFonts w:ascii="PermianSerifTypeface" w:hAnsi="PermianSerifTypeface"/>
            <w:bCs/>
          </w:rPr>
          <w:t>reglementare.psp@bnm.md</w:t>
        </w:r>
      </w:hyperlink>
      <w:r w:rsidRPr="00EF13D2">
        <w:rPr>
          <w:rFonts w:ascii="PermianSerifTypeface" w:hAnsi="PermianSerifTypeface"/>
        </w:rPr>
        <w:t xml:space="preserve">, or through other electronic channels according to the normative acts of the National Bank of Moldova. </w:t>
      </w:r>
    </w:p>
    <w:p w14:paraId="08DC2686" w14:textId="6ECDACD5" w:rsidR="0090640F" w:rsidRPr="00EF13D2" w:rsidRDefault="00E52CB3" w:rsidP="00385157">
      <w:pPr>
        <w:pStyle w:val="ListParagraph"/>
        <w:numPr>
          <w:ilvl w:val="0"/>
          <w:numId w:val="2"/>
        </w:numPr>
        <w:tabs>
          <w:tab w:val="left" w:pos="993"/>
        </w:tabs>
        <w:spacing w:after="0" w:line="240" w:lineRule="auto"/>
        <w:ind w:left="0" w:firstLine="426"/>
        <w:jc w:val="both"/>
        <w:rPr>
          <w:rFonts w:ascii="PermianSerifTypeface" w:hAnsi="PermianSerifTypeface"/>
          <w:bCs/>
        </w:rPr>
      </w:pPr>
      <w:r w:rsidRPr="00EF13D2">
        <w:rPr>
          <w:rFonts w:ascii="PermianSerifTypeface" w:hAnsi="PermianSerifTypeface"/>
          <w:bCs/>
        </w:rPr>
        <w:t>For the use of an instrument</w:t>
      </w:r>
      <w:r w:rsidR="00491895" w:rsidRPr="00EF13D2">
        <w:rPr>
          <w:rFonts w:ascii="PermianSerifTypeface" w:hAnsi="PermianSerifTypeface"/>
          <w:bCs/>
        </w:rPr>
        <w:t>/device</w:t>
      </w:r>
      <w:r w:rsidRPr="00EF13D2">
        <w:rPr>
          <w:rFonts w:ascii="PermianSerifTypeface" w:hAnsi="PermianSerifTypeface"/>
          <w:bCs/>
        </w:rPr>
        <w:t xml:space="preserve"> to be considered limited to the purchase of a very limited range of goods or services as referred to in Art. 2 para. (2) item 11) </w:t>
      </w:r>
      <w:proofErr w:type="spellStart"/>
      <w:r w:rsidRPr="00EF13D2">
        <w:rPr>
          <w:rFonts w:ascii="PermianSerifTypeface" w:hAnsi="PermianSerifTypeface"/>
          <w:bCs/>
        </w:rPr>
        <w:t>l</w:t>
      </w:r>
      <w:r w:rsidR="00CB4BAC" w:rsidRPr="00EF13D2">
        <w:rPr>
          <w:rFonts w:ascii="PermianSerifTypeface" w:hAnsi="PermianSerifTypeface"/>
          <w:bCs/>
        </w:rPr>
        <w:t>ett</w:t>
      </w:r>
      <w:proofErr w:type="spellEnd"/>
      <w:r w:rsidRPr="00EF13D2">
        <w:rPr>
          <w:rFonts w:ascii="PermianSerifTypeface" w:hAnsi="PermianSerifTypeface"/>
          <w:bCs/>
        </w:rPr>
        <w:t>. b) of Law No. 114/2012, there must be a functional link between the goods and/or services that can be purchased with that instrument</w:t>
      </w:r>
      <w:r w:rsidR="005A1974" w:rsidRPr="00EF13D2">
        <w:rPr>
          <w:rFonts w:ascii="PermianSerifTypeface" w:hAnsi="PermianSerifTypeface"/>
          <w:bCs/>
        </w:rPr>
        <w:t>/device</w:t>
      </w:r>
      <w:r w:rsidRPr="00EF13D2">
        <w:rPr>
          <w:rFonts w:ascii="PermianSerifTypeface" w:hAnsi="PermianSerifTypeface"/>
          <w:bCs/>
        </w:rPr>
        <w:t>.</w:t>
      </w:r>
    </w:p>
    <w:p w14:paraId="4A3E0DE9" w14:textId="79C3A4E2" w:rsidR="00C812AF" w:rsidRPr="00EF13D2" w:rsidRDefault="00E52CB3" w:rsidP="00E52CB3">
      <w:pPr>
        <w:pStyle w:val="ListParagraph"/>
        <w:numPr>
          <w:ilvl w:val="0"/>
          <w:numId w:val="2"/>
        </w:numPr>
        <w:tabs>
          <w:tab w:val="left" w:pos="993"/>
        </w:tabs>
        <w:ind w:left="0" w:firstLine="426"/>
        <w:jc w:val="both"/>
        <w:rPr>
          <w:rFonts w:ascii="PermianSerifTypeface" w:hAnsi="PermianSerifTypeface"/>
          <w:bCs/>
        </w:rPr>
      </w:pPr>
      <w:r w:rsidRPr="00EF13D2">
        <w:rPr>
          <w:rFonts w:ascii="PermianSerifTypeface" w:hAnsi="PermianSerifTypeface"/>
          <w:bCs/>
        </w:rPr>
        <w:t>When assessing the functional link between the goods and/or services that can be purchased with that instrument</w:t>
      </w:r>
      <w:r w:rsidR="005A1974" w:rsidRPr="00EF13D2">
        <w:rPr>
          <w:rFonts w:ascii="PermianSerifTypeface" w:hAnsi="PermianSerifTypeface"/>
          <w:bCs/>
        </w:rPr>
        <w:t>/device</w:t>
      </w:r>
      <w:r w:rsidRPr="00EF13D2">
        <w:rPr>
          <w:rFonts w:ascii="PermianSerifTypeface" w:hAnsi="PermianSerifTypeface"/>
          <w:bCs/>
        </w:rPr>
        <w:t xml:space="preserve">, the National Bank of Moldova shall </w:t>
      </w:r>
      <w:proofErr w:type="gramStart"/>
      <w:r w:rsidRPr="00EF13D2">
        <w:rPr>
          <w:rFonts w:ascii="PermianSerifTypeface" w:hAnsi="PermianSerifTypeface"/>
          <w:bCs/>
        </w:rPr>
        <w:t>take into account</w:t>
      </w:r>
      <w:proofErr w:type="gramEnd"/>
      <w:r w:rsidRPr="00EF13D2">
        <w:rPr>
          <w:rFonts w:ascii="PermianSerifTypeface" w:hAnsi="PermianSerifTypeface"/>
          <w:bCs/>
        </w:rPr>
        <w:t xml:space="preserve"> whether the issuer has identified a specific category of goods and/or services that serve a common purpose.</w:t>
      </w:r>
    </w:p>
    <w:p w14:paraId="0AB5C341" w14:textId="4B35E991" w:rsidR="009557DE" w:rsidRPr="00EF13D2" w:rsidRDefault="00E52CB3" w:rsidP="00687B6A">
      <w:pPr>
        <w:pStyle w:val="ListParagraph"/>
        <w:numPr>
          <w:ilvl w:val="0"/>
          <w:numId w:val="2"/>
        </w:numPr>
        <w:tabs>
          <w:tab w:val="left" w:pos="993"/>
        </w:tabs>
        <w:spacing w:line="240" w:lineRule="auto"/>
        <w:ind w:left="0" w:firstLine="426"/>
        <w:jc w:val="both"/>
        <w:rPr>
          <w:rFonts w:ascii="PermianSerifTypeface" w:hAnsi="PermianSerifTypeface"/>
          <w:bCs/>
        </w:rPr>
      </w:pPr>
      <w:r w:rsidRPr="00EF13D2">
        <w:rPr>
          <w:rFonts w:ascii="PermianSerifTypeface" w:hAnsi="PermianSerifTypeface"/>
          <w:bCs/>
        </w:rPr>
        <w:t>If, following</w:t>
      </w:r>
      <w:r w:rsidR="00EE3429" w:rsidRPr="00EF13D2">
        <w:rPr>
          <w:rFonts w:ascii="PermianSerifTypeface" w:hAnsi="PermianSerifTypeface"/>
          <w:bCs/>
        </w:rPr>
        <w:t xml:space="preserve"> </w:t>
      </w:r>
      <w:r w:rsidRPr="00EF13D2">
        <w:rPr>
          <w:rFonts w:ascii="PermianSerifTypeface" w:hAnsi="PermianSerifTypeface"/>
          <w:bCs/>
        </w:rPr>
        <w:t>examination of the notification, documents, and information specified in points 4 and 11, the National Bank of Moldova finds that the person intends to carry out an activity other than that indicated, which is not subject to licensing, or to carry out an activity subject to licensing, it shall apply the provisions of Art. 2</w:t>
      </w:r>
      <w:r w:rsidRPr="00EF13D2">
        <w:rPr>
          <w:rFonts w:ascii="PermianSerifTypeface" w:hAnsi="PermianSerifTypeface"/>
          <w:bCs/>
          <w:vertAlign w:val="superscript"/>
        </w:rPr>
        <w:t>1</w:t>
      </w:r>
      <w:r w:rsidRPr="00EF13D2">
        <w:rPr>
          <w:rFonts w:ascii="PermianSerifTypeface" w:hAnsi="PermianSerifTypeface"/>
          <w:bCs/>
        </w:rPr>
        <w:t xml:space="preserve"> para. (3) of Law No. 114/2012. </w:t>
      </w:r>
    </w:p>
    <w:p w14:paraId="54FFB133" w14:textId="77777777" w:rsidR="001341FF" w:rsidRPr="00EF13D2" w:rsidRDefault="001341FF" w:rsidP="001341FF">
      <w:pPr>
        <w:pStyle w:val="ListParagraph"/>
        <w:tabs>
          <w:tab w:val="left" w:pos="993"/>
        </w:tabs>
        <w:spacing w:line="240" w:lineRule="auto"/>
        <w:ind w:left="426"/>
        <w:jc w:val="both"/>
        <w:rPr>
          <w:rFonts w:ascii="PermianSerifTypeface" w:hAnsi="PermianSerifTypeface"/>
          <w:bCs/>
        </w:rPr>
      </w:pPr>
    </w:p>
    <w:p w14:paraId="2740315D" w14:textId="26BBA7CB" w:rsidR="00A94993" w:rsidRPr="00EF13D2" w:rsidRDefault="00413D34" w:rsidP="00707C75">
      <w:pPr>
        <w:spacing w:after="120" w:line="240" w:lineRule="auto"/>
        <w:ind w:firstLine="426"/>
        <w:jc w:val="center"/>
        <w:rPr>
          <w:rFonts w:ascii="PermianSerifTypeface" w:hAnsi="PermianSerifTypeface"/>
          <w:b/>
        </w:rPr>
      </w:pPr>
      <w:r w:rsidRPr="00EF13D2">
        <w:rPr>
          <w:rFonts w:ascii="PermianSerifTypeface" w:hAnsi="PermianSerifTypeface"/>
          <w:b/>
        </w:rPr>
        <w:t>C</w:t>
      </w:r>
      <w:r w:rsidR="00E52CB3" w:rsidRPr="00EF13D2">
        <w:rPr>
          <w:rFonts w:ascii="PermianSerifTypeface" w:hAnsi="PermianSerifTypeface"/>
          <w:b/>
        </w:rPr>
        <w:t>hapter</w:t>
      </w:r>
      <w:r w:rsidRPr="00EF13D2">
        <w:rPr>
          <w:rFonts w:ascii="PermianSerifTypeface" w:hAnsi="PermianSerifTypeface"/>
          <w:b/>
        </w:rPr>
        <w:t xml:space="preserve"> III</w:t>
      </w:r>
    </w:p>
    <w:p w14:paraId="6F9D2469" w14:textId="703DC8BE" w:rsidR="00E52CB3" w:rsidRPr="00EF13D2" w:rsidRDefault="00E52CB3" w:rsidP="001341FF">
      <w:pPr>
        <w:spacing w:after="120"/>
        <w:ind w:firstLine="426"/>
        <w:jc w:val="center"/>
        <w:rPr>
          <w:rFonts w:ascii="PermianSerifTypeface" w:hAnsi="PermianSerifTypeface"/>
          <w:b/>
        </w:rPr>
      </w:pPr>
      <w:r w:rsidRPr="00EF13D2">
        <w:rPr>
          <w:rFonts w:ascii="PermianSerifTypeface" w:hAnsi="PermianSerifTypeface"/>
          <w:b/>
          <w:bCs/>
        </w:rPr>
        <w:t>NOTIFICATION IN CASE OF EXEMPT PAYMENT SERVICES</w:t>
      </w:r>
    </w:p>
    <w:p w14:paraId="666D78D2" w14:textId="636C6854" w:rsidR="00AF3F9A" w:rsidRPr="00EF13D2" w:rsidRDefault="00E52CB3" w:rsidP="00687B6A">
      <w:pPr>
        <w:pStyle w:val="ListParagraph"/>
        <w:numPr>
          <w:ilvl w:val="0"/>
          <w:numId w:val="2"/>
        </w:numPr>
        <w:tabs>
          <w:tab w:val="left" w:pos="993"/>
          <w:tab w:val="left" w:pos="3119"/>
          <w:tab w:val="left" w:pos="4111"/>
        </w:tabs>
        <w:ind w:left="0" w:firstLine="426"/>
        <w:jc w:val="both"/>
        <w:rPr>
          <w:rFonts w:ascii="PermianSerifTypeface" w:hAnsi="PermianSerifTypeface"/>
          <w:bCs/>
        </w:rPr>
      </w:pPr>
      <w:bookmarkStart w:id="4" w:name="_Ref136009830"/>
      <w:r w:rsidRPr="00EF13D2">
        <w:rPr>
          <w:rFonts w:ascii="PermianSerifTypeface" w:hAnsi="PermianSerifTypeface"/>
          <w:bCs/>
        </w:rPr>
        <w:t xml:space="preserve">Persons carrying out any of the activities referred to in Art. 2 para. (2) item 11) </w:t>
      </w:r>
      <w:proofErr w:type="spellStart"/>
      <w:r w:rsidRPr="00EF13D2">
        <w:rPr>
          <w:rFonts w:ascii="PermianSerifTypeface" w:hAnsi="PermianSerifTypeface"/>
          <w:bCs/>
        </w:rPr>
        <w:t>l</w:t>
      </w:r>
      <w:r w:rsidR="00763C07" w:rsidRPr="00EF13D2">
        <w:rPr>
          <w:rFonts w:ascii="PermianSerifTypeface" w:hAnsi="PermianSerifTypeface"/>
          <w:bCs/>
        </w:rPr>
        <w:t>e</w:t>
      </w:r>
      <w:r w:rsidRPr="00EF13D2">
        <w:rPr>
          <w:rFonts w:ascii="PermianSerifTypeface" w:hAnsi="PermianSerifTypeface"/>
          <w:bCs/>
        </w:rPr>
        <w:t>t</w:t>
      </w:r>
      <w:r w:rsidR="00763C07" w:rsidRPr="00EF13D2">
        <w:rPr>
          <w:rFonts w:ascii="PermianSerifTypeface" w:hAnsi="PermianSerifTypeface"/>
          <w:bCs/>
        </w:rPr>
        <w:t>t</w:t>
      </w:r>
      <w:proofErr w:type="spellEnd"/>
      <w:r w:rsidRPr="00EF13D2">
        <w:rPr>
          <w:rFonts w:ascii="PermianSerifTypeface" w:hAnsi="PermianSerifTypeface"/>
          <w:bCs/>
        </w:rPr>
        <w:t>. a) and/or b) of Law No. 114/2012 shall submit a notification to the National Bank of Moldova within the time limit and under the conditions set out in Art. 2</w:t>
      </w:r>
      <w:r w:rsidRPr="00EF13D2">
        <w:rPr>
          <w:rFonts w:ascii="PermianSerifTypeface" w:hAnsi="PermianSerifTypeface"/>
          <w:bCs/>
          <w:vertAlign w:val="superscript"/>
        </w:rPr>
        <w:t>2</w:t>
      </w:r>
      <w:r w:rsidRPr="00EF13D2">
        <w:rPr>
          <w:rFonts w:ascii="PermianSerifTypeface" w:hAnsi="PermianSerifTypeface"/>
          <w:bCs/>
        </w:rPr>
        <w:t xml:space="preserve"> para. (1) and (2) of Law No. 114/2012. </w:t>
      </w:r>
      <w:bookmarkEnd w:id="4"/>
    </w:p>
    <w:p w14:paraId="0C98432B" w14:textId="64368C4F" w:rsidR="00EE0781" w:rsidRPr="00EF13D2" w:rsidRDefault="00E52CB3" w:rsidP="00687B6A">
      <w:pPr>
        <w:pStyle w:val="ListParagraph"/>
        <w:numPr>
          <w:ilvl w:val="0"/>
          <w:numId w:val="2"/>
        </w:numPr>
        <w:tabs>
          <w:tab w:val="left" w:pos="993"/>
          <w:tab w:val="left" w:pos="1276"/>
          <w:tab w:val="left" w:pos="3119"/>
          <w:tab w:val="left" w:pos="4111"/>
        </w:tabs>
        <w:spacing w:line="240" w:lineRule="auto"/>
        <w:ind w:left="0" w:firstLine="426"/>
        <w:jc w:val="both"/>
        <w:rPr>
          <w:rFonts w:ascii="PermianSerifTypeface" w:hAnsi="PermianSerifTypeface"/>
          <w:bCs/>
        </w:rPr>
      </w:pPr>
      <w:r w:rsidRPr="00EF13D2">
        <w:rPr>
          <w:rFonts w:ascii="PermianSerifTypeface" w:hAnsi="PermianSerifTypeface"/>
          <w:bCs/>
        </w:rPr>
        <w:t xml:space="preserve">The notification referred to in point 16 shall include data on the name and </w:t>
      </w:r>
      <w:r w:rsidR="00763C07" w:rsidRPr="00EF13D2">
        <w:rPr>
          <w:rFonts w:ascii="PermianSerifTypeface" w:hAnsi="PermianSerifTypeface"/>
          <w:bCs/>
        </w:rPr>
        <w:t>the address of the registered office</w:t>
      </w:r>
      <w:r w:rsidRPr="00EF13D2">
        <w:rPr>
          <w:rFonts w:ascii="PermianSerifTypeface" w:hAnsi="PermianSerifTypeface"/>
          <w:bCs/>
        </w:rPr>
        <w:t>/domicile of the person, and includes the following documents and information:</w:t>
      </w:r>
    </w:p>
    <w:p w14:paraId="488E69EE" w14:textId="07776424"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a</w:t>
      </w:r>
      <w:r w:rsidR="00D63914" w:rsidRPr="00EF13D2">
        <w:rPr>
          <w:rFonts w:ascii="PermianSerifTypeface" w:hAnsi="PermianSerifTypeface"/>
          <w:bCs/>
        </w:rPr>
        <w:t xml:space="preserve"> detailed description of the </w:t>
      </w:r>
      <w:r w:rsidR="00FF75E5" w:rsidRPr="00EF13D2">
        <w:rPr>
          <w:rFonts w:ascii="PermianSerifTypeface" w:hAnsi="PermianSerifTypeface"/>
          <w:bCs/>
        </w:rPr>
        <w:t xml:space="preserve">offered </w:t>
      </w:r>
      <w:proofErr w:type="gramStart"/>
      <w:r w:rsidR="00D63914" w:rsidRPr="00EF13D2">
        <w:rPr>
          <w:rFonts w:ascii="PermianSerifTypeface" w:hAnsi="PermianSerifTypeface"/>
          <w:bCs/>
        </w:rPr>
        <w:t>services</w:t>
      </w:r>
      <w:r w:rsidR="00EE3429" w:rsidRPr="00EF13D2">
        <w:rPr>
          <w:rFonts w:ascii="PermianSerifTypeface" w:hAnsi="PermianSerifTypeface"/>
          <w:bCs/>
        </w:rPr>
        <w:t>;</w:t>
      </w:r>
      <w:proofErr w:type="gramEnd"/>
    </w:p>
    <w:p w14:paraId="1A82BDD5" w14:textId="0A497938"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 xml:space="preserve">he volume and value of payment transactions carried </w:t>
      </w:r>
      <w:proofErr w:type="gramStart"/>
      <w:r w:rsidR="00D63914" w:rsidRPr="00EF13D2">
        <w:rPr>
          <w:rFonts w:ascii="PermianSerifTypeface" w:hAnsi="PermianSerifTypeface"/>
          <w:bCs/>
        </w:rPr>
        <w:t>out</w:t>
      </w:r>
      <w:r w:rsidR="00EE3429" w:rsidRPr="00EF13D2">
        <w:rPr>
          <w:rFonts w:ascii="PermianSerifTypeface" w:hAnsi="PermianSerifTypeface"/>
          <w:bCs/>
        </w:rPr>
        <w:t>;</w:t>
      </w:r>
      <w:proofErr w:type="gramEnd"/>
    </w:p>
    <w:p w14:paraId="24B95D36" w14:textId="2F0D85E4"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 xml:space="preserve">he amount credited </w:t>
      </w:r>
      <w:r w:rsidR="00425E24" w:rsidRPr="00EF13D2">
        <w:rPr>
          <w:rFonts w:ascii="PermianSerifTypeface" w:hAnsi="PermianSerifTypeface"/>
          <w:bCs/>
        </w:rPr>
        <w:t>on</w:t>
      </w:r>
      <w:r w:rsidR="00D63914" w:rsidRPr="00EF13D2">
        <w:rPr>
          <w:rFonts w:ascii="PermianSerifTypeface" w:hAnsi="PermianSerifTypeface"/>
          <w:bCs/>
        </w:rPr>
        <w:t xml:space="preserve"> instrument</w:t>
      </w:r>
      <w:r w:rsidR="00425E24" w:rsidRPr="00EF13D2">
        <w:rPr>
          <w:rFonts w:ascii="PermianSerifTypeface" w:hAnsi="PermianSerifTypeface"/>
          <w:bCs/>
        </w:rPr>
        <w:t>s</w:t>
      </w:r>
      <w:r w:rsidR="00FF75E5" w:rsidRPr="00EF13D2">
        <w:rPr>
          <w:rFonts w:ascii="PermianSerifTypeface" w:hAnsi="PermianSerifTypeface"/>
          <w:bCs/>
        </w:rPr>
        <w:t>/</w:t>
      </w:r>
      <w:proofErr w:type="gramStart"/>
      <w:r w:rsidR="00FF75E5" w:rsidRPr="00EF13D2">
        <w:rPr>
          <w:rFonts w:ascii="PermianSerifTypeface" w:hAnsi="PermianSerifTypeface"/>
          <w:bCs/>
        </w:rPr>
        <w:t>d</w:t>
      </w:r>
      <w:r w:rsidR="00F01B66" w:rsidRPr="00EF13D2">
        <w:rPr>
          <w:rFonts w:ascii="PermianSerifTypeface" w:hAnsi="PermianSerifTypeface"/>
          <w:bCs/>
        </w:rPr>
        <w:t>evices</w:t>
      </w:r>
      <w:r w:rsidR="00EE3429" w:rsidRPr="00EF13D2">
        <w:rPr>
          <w:rFonts w:ascii="PermianSerifTypeface" w:hAnsi="PermianSerifTypeface"/>
          <w:bCs/>
        </w:rPr>
        <w:t>;</w:t>
      </w:r>
      <w:proofErr w:type="gramEnd"/>
    </w:p>
    <w:p w14:paraId="7639A95F" w14:textId="19E13DFE"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he number of issued</w:t>
      </w:r>
      <w:r w:rsidR="00FF75E5" w:rsidRPr="00EF13D2">
        <w:rPr>
          <w:rFonts w:ascii="PermianSerifTypeface" w:hAnsi="PermianSerifTypeface"/>
          <w:bCs/>
        </w:rPr>
        <w:t xml:space="preserve"> </w:t>
      </w:r>
      <w:proofErr w:type="gramStart"/>
      <w:r w:rsidR="00FF75E5" w:rsidRPr="00EF13D2">
        <w:rPr>
          <w:rFonts w:ascii="PermianSerifTypeface" w:hAnsi="PermianSerifTypeface"/>
          <w:bCs/>
        </w:rPr>
        <w:t>instruments</w:t>
      </w:r>
      <w:r w:rsidR="00EE3429" w:rsidRPr="00EF13D2">
        <w:rPr>
          <w:rFonts w:ascii="PermianSerifTypeface" w:hAnsi="PermianSerifTypeface"/>
          <w:bCs/>
        </w:rPr>
        <w:t>;</w:t>
      </w:r>
      <w:proofErr w:type="gramEnd"/>
    </w:p>
    <w:p w14:paraId="1D2389AA" w14:textId="5E874D4D"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a</w:t>
      </w:r>
      <w:r w:rsidR="00D63914" w:rsidRPr="00EF13D2">
        <w:rPr>
          <w:rFonts w:ascii="PermianSerifTypeface" w:hAnsi="PermianSerifTypeface"/>
          <w:bCs/>
        </w:rPr>
        <w:t xml:space="preserve"> list of suppliers of goods and services where the instrument</w:t>
      </w:r>
      <w:r w:rsidRPr="00EF13D2">
        <w:rPr>
          <w:rFonts w:ascii="PermianSerifTypeface" w:hAnsi="PermianSerifTypeface"/>
          <w:bCs/>
        </w:rPr>
        <w:t>/</w:t>
      </w:r>
      <w:r w:rsidR="00F01B66" w:rsidRPr="00EF13D2">
        <w:rPr>
          <w:rFonts w:ascii="PermianSerifTypeface" w:hAnsi="PermianSerifTypeface"/>
          <w:bCs/>
        </w:rPr>
        <w:t xml:space="preserve">device </w:t>
      </w:r>
      <w:r w:rsidR="00D63914" w:rsidRPr="00EF13D2">
        <w:rPr>
          <w:rFonts w:ascii="PermianSerifTypeface" w:hAnsi="PermianSerifTypeface"/>
          <w:bCs/>
        </w:rPr>
        <w:t xml:space="preserve">has been used, in the case of activities referred to in Art. 2 para. (2) item 11) </w:t>
      </w:r>
      <w:proofErr w:type="spellStart"/>
      <w:r w:rsidR="00D63914" w:rsidRPr="00EF13D2">
        <w:rPr>
          <w:rFonts w:ascii="PermianSerifTypeface" w:hAnsi="PermianSerifTypeface"/>
          <w:bCs/>
        </w:rPr>
        <w:t>l</w:t>
      </w:r>
      <w:r w:rsidR="003C349D" w:rsidRPr="00EF13D2">
        <w:rPr>
          <w:rFonts w:ascii="PermianSerifTypeface" w:hAnsi="PermianSerifTypeface"/>
          <w:bCs/>
        </w:rPr>
        <w:t>e</w:t>
      </w:r>
      <w:r w:rsidR="00D63914" w:rsidRPr="00EF13D2">
        <w:rPr>
          <w:rFonts w:ascii="PermianSerifTypeface" w:hAnsi="PermianSerifTypeface"/>
          <w:bCs/>
        </w:rPr>
        <w:t>t</w:t>
      </w:r>
      <w:r w:rsidR="003C349D" w:rsidRPr="00EF13D2">
        <w:rPr>
          <w:rFonts w:ascii="PermianSerifTypeface" w:hAnsi="PermianSerifTypeface"/>
          <w:bCs/>
        </w:rPr>
        <w:t>t</w:t>
      </w:r>
      <w:proofErr w:type="spellEnd"/>
      <w:r w:rsidR="00D63914" w:rsidRPr="00EF13D2">
        <w:rPr>
          <w:rFonts w:ascii="PermianSerifTypeface" w:hAnsi="PermianSerifTypeface"/>
          <w:bCs/>
        </w:rPr>
        <w:t xml:space="preserve">. a) of Law No. </w:t>
      </w:r>
      <w:proofErr w:type="gramStart"/>
      <w:r w:rsidR="00D63914" w:rsidRPr="00EF13D2">
        <w:rPr>
          <w:rFonts w:ascii="PermianSerifTypeface" w:hAnsi="PermianSerifTypeface"/>
          <w:bCs/>
        </w:rPr>
        <w:t>114/2012</w:t>
      </w:r>
      <w:r w:rsidR="00425E24" w:rsidRPr="00EF13D2">
        <w:rPr>
          <w:rFonts w:ascii="PermianSerifTypeface" w:hAnsi="PermianSerifTypeface"/>
          <w:bCs/>
        </w:rPr>
        <w:t>;</w:t>
      </w:r>
      <w:proofErr w:type="gramEnd"/>
    </w:p>
    <w:p w14:paraId="776504D0" w14:textId="1F2C9F04"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he range of goods and services purchased with the instrument</w:t>
      </w:r>
      <w:r w:rsidR="00166F73" w:rsidRPr="00EF13D2">
        <w:rPr>
          <w:rFonts w:ascii="PermianSerifTypeface" w:hAnsi="PermianSerifTypeface"/>
          <w:bCs/>
        </w:rPr>
        <w:t>/d</w:t>
      </w:r>
      <w:r w:rsidR="005A1974" w:rsidRPr="00EF13D2">
        <w:rPr>
          <w:rFonts w:ascii="PermianSerifTypeface" w:hAnsi="PermianSerifTypeface"/>
          <w:bCs/>
        </w:rPr>
        <w:t>evice</w:t>
      </w:r>
      <w:r w:rsidR="00D63914" w:rsidRPr="00EF13D2">
        <w:rPr>
          <w:rFonts w:ascii="PermianSerifTypeface" w:hAnsi="PermianSerifTypeface"/>
          <w:bCs/>
        </w:rPr>
        <w:t xml:space="preserve">, in the case of activities referred to in Art. 2 para. (2) item 11) </w:t>
      </w:r>
      <w:proofErr w:type="spellStart"/>
      <w:r w:rsidR="00D63914" w:rsidRPr="00EF13D2">
        <w:rPr>
          <w:rFonts w:ascii="PermianSerifTypeface" w:hAnsi="PermianSerifTypeface"/>
          <w:bCs/>
        </w:rPr>
        <w:t>l</w:t>
      </w:r>
      <w:r w:rsidR="003C349D" w:rsidRPr="00EF13D2">
        <w:rPr>
          <w:rFonts w:ascii="PermianSerifTypeface" w:hAnsi="PermianSerifTypeface"/>
          <w:bCs/>
        </w:rPr>
        <w:t>e</w:t>
      </w:r>
      <w:r w:rsidR="00D63914" w:rsidRPr="00EF13D2">
        <w:rPr>
          <w:rFonts w:ascii="PermianSerifTypeface" w:hAnsi="PermianSerifTypeface"/>
          <w:bCs/>
        </w:rPr>
        <w:t>t</w:t>
      </w:r>
      <w:r w:rsidR="003C349D" w:rsidRPr="00EF13D2">
        <w:rPr>
          <w:rFonts w:ascii="PermianSerifTypeface" w:hAnsi="PermianSerifTypeface"/>
          <w:bCs/>
        </w:rPr>
        <w:t>t</w:t>
      </w:r>
      <w:proofErr w:type="spellEnd"/>
      <w:r w:rsidR="00D63914" w:rsidRPr="00EF13D2">
        <w:rPr>
          <w:rFonts w:ascii="PermianSerifTypeface" w:hAnsi="PermianSerifTypeface"/>
          <w:bCs/>
        </w:rPr>
        <w:t xml:space="preserve">. b) of Law No. </w:t>
      </w:r>
      <w:proofErr w:type="gramStart"/>
      <w:r w:rsidR="00D63914" w:rsidRPr="00EF13D2">
        <w:rPr>
          <w:rFonts w:ascii="PermianSerifTypeface" w:hAnsi="PermianSerifTypeface"/>
          <w:bCs/>
        </w:rPr>
        <w:t>114/2012</w:t>
      </w:r>
      <w:r w:rsidR="00425E24" w:rsidRPr="00EF13D2">
        <w:rPr>
          <w:rFonts w:ascii="PermianSerifTypeface" w:hAnsi="PermianSerifTypeface"/>
          <w:bCs/>
        </w:rPr>
        <w:t>;</w:t>
      </w:r>
      <w:proofErr w:type="gramEnd"/>
    </w:p>
    <w:p w14:paraId="79769965" w14:textId="74D2CDF7"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 xml:space="preserve">he direct contractual agreement for the acceptance of payment transactions between the instrument issuer and each merchant and/or service provider, in the case of activities referred to in Art. 2 para. (2) item 11) </w:t>
      </w:r>
      <w:proofErr w:type="spellStart"/>
      <w:r w:rsidR="00D63914" w:rsidRPr="00EF13D2">
        <w:rPr>
          <w:rFonts w:ascii="PermianSerifTypeface" w:hAnsi="PermianSerifTypeface"/>
          <w:bCs/>
        </w:rPr>
        <w:t>l</w:t>
      </w:r>
      <w:r w:rsidR="003C349D" w:rsidRPr="00EF13D2">
        <w:rPr>
          <w:rFonts w:ascii="PermianSerifTypeface" w:hAnsi="PermianSerifTypeface"/>
          <w:bCs/>
        </w:rPr>
        <w:t>et</w:t>
      </w:r>
      <w:r w:rsidR="00D63914" w:rsidRPr="00EF13D2">
        <w:rPr>
          <w:rFonts w:ascii="PermianSerifTypeface" w:hAnsi="PermianSerifTypeface"/>
          <w:bCs/>
        </w:rPr>
        <w:t>t</w:t>
      </w:r>
      <w:proofErr w:type="spellEnd"/>
      <w:r w:rsidR="00D63914" w:rsidRPr="00EF13D2">
        <w:rPr>
          <w:rFonts w:ascii="PermianSerifTypeface" w:hAnsi="PermianSerifTypeface"/>
          <w:bCs/>
        </w:rPr>
        <w:t xml:space="preserve">. a) of Law No. </w:t>
      </w:r>
      <w:proofErr w:type="gramStart"/>
      <w:r w:rsidR="00D63914" w:rsidRPr="00EF13D2">
        <w:rPr>
          <w:rFonts w:ascii="PermianSerifTypeface" w:hAnsi="PermianSerifTypeface"/>
          <w:bCs/>
        </w:rPr>
        <w:t>114/2012</w:t>
      </w:r>
      <w:r w:rsidR="00425E24" w:rsidRPr="00EF13D2">
        <w:rPr>
          <w:rFonts w:ascii="PermianSerifTypeface" w:hAnsi="PermianSerifTypeface"/>
          <w:bCs/>
        </w:rPr>
        <w:t>;</w:t>
      </w:r>
      <w:proofErr w:type="gramEnd"/>
    </w:p>
    <w:p w14:paraId="55E79F04" w14:textId="56347DC2"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lastRenderedPageBreak/>
        <w:t>t</w:t>
      </w:r>
      <w:r w:rsidR="00D63914" w:rsidRPr="00EF13D2">
        <w:rPr>
          <w:rFonts w:ascii="PermianSerifTypeface" w:hAnsi="PermianSerifTypeface"/>
          <w:bCs/>
        </w:rPr>
        <w:t xml:space="preserve">he number of traders and/or service providers operating within the limited </w:t>
      </w:r>
      <w:proofErr w:type="gramStart"/>
      <w:r w:rsidR="00D63914" w:rsidRPr="00EF13D2">
        <w:rPr>
          <w:rFonts w:ascii="PermianSerifTypeface" w:hAnsi="PermianSerifTypeface"/>
          <w:bCs/>
        </w:rPr>
        <w:t>network</w:t>
      </w:r>
      <w:r w:rsidR="00425E24" w:rsidRPr="00EF13D2">
        <w:rPr>
          <w:rFonts w:ascii="PermianSerifTypeface" w:hAnsi="PermianSerifTypeface"/>
          <w:bCs/>
        </w:rPr>
        <w:t>;</w:t>
      </w:r>
      <w:proofErr w:type="gramEnd"/>
    </w:p>
    <w:p w14:paraId="31CC48E0" w14:textId="36C94D39" w:rsidR="00D63914"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i</w:t>
      </w:r>
      <w:r w:rsidR="00D63914" w:rsidRPr="00EF13D2">
        <w:rPr>
          <w:rFonts w:ascii="PermianSerifTypeface" w:hAnsi="PermianSerifTypeface"/>
          <w:bCs/>
        </w:rPr>
        <w:t xml:space="preserve">nformation that the supplier offers goods and services under a common brand that characterizes the limited network and provides a visual manifestation to </w:t>
      </w:r>
      <w:proofErr w:type="gramStart"/>
      <w:r w:rsidR="00D63914" w:rsidRPr="00EF13D2">
        <w:rPr>
          <w:rFonts w:ascii="PermianSerifTypeface" w:hAnsi="PermianSerifTypeface"/>
          <w:bCs/>
        </w:rPr>
        <w:t>customers</w:t>
      </w:r>
      <w:r w:rsidR="00425E24" w:rsidRPr="00EF13D2">
        <w:rPr>
          <w:rFonts w:ascii="PermianSerifTypeface" w:hAnsi="PermianSerifTypeface"/>
          <w:bCs/>
        </w:rPr>
        <w:t>;</w:t>
      </w:r>
      <w:proofErr w:type="gramEnd"/>
    </w:p>
    <w:p w14:paraId="562F6654" w14:textId="63A46410" w:rsidR="00EE0781" w:rsidRPr="00EF13D2" w:rsidRDefault="00C0269E" w:rsidP="00D63914">
      <w:pPr>
        <w:pStyle w:val="ListParagraph"/>
        <w:numPr>
          <w:ilvl w:val="0"/>
          <w:numId w:val="11"/>
        </w:numPr>
        <w:tabs>
          <w:tab w:val="left" w:pos="993"/>
          <w:tab w:val="left" w:pos="1276"/>
          <w:tab w:val="left" w:pos="3119"/>
          <w:tab w:val="left" w:pos="4111"/>
        </w:tabs>
        <w:ind w:left="0" w:firstLine="851"/>
        <w:jc w:val="both"/>
        <w:rPr>
          <w:rFonts w:ascii="PermianSerifTypeface" w:hAnsi="PermianSerifTypeface"/>
          <w:bCs/>
        </w:rPr>
      </w:pPr>
      <w:r w:rsidRPr="00EF13D2">
        <w:rPr>
          <w:rFonts w:ascii="PermianSerifTypeface" w:hAnsi="PermianSerifTypeface"/>
          <w:bCs/>
        </w:rPr>
        <w:t>a</w:t>
      </w:r>
      <w:r w:rsidR="00D63914" w:rsidRPr="00EF13D2">
        <w:rPr>
          <w:rFonts w:ascii="PermianSerifTypeface" w:hAnsi="PermianSerifTypeface"/>
          <w:bCs/>
        </w:rPr>
        <w:t xml:space="preserve"> description of the risks faced by customers when using the payment instrument.</w:t>
      </w:r>
    </w:p>
    <w:p w14:paraId="34B5A2A0" w14:textId="349FAA48" w:rsidR="00F05F21" w:rsidRPr="00EF13D2" w:rsidRDefault="00D63914" w:rsidP="00687B6A">
      <w:pPr>
        <w:pStyle w:val="ListParagraph"/>
        <w:numPr>
          <w:ilvl w:val="0"/>
          <w:numId w:val="2"/>
        </w:numPr>
        <w:tabs>
          <w:tab w:val="left" w:pos="993"/>
        </w:tabs>
        <w:spacing w:line="240" w:lineRule="auto"/>
        <w:ind w:left="0" w:firstLine="426"/>
        <w:jc w:val="both"/>
        <w:rPr>
          <w:rFonts w:ascii="PermianSerifTypeface" w:hAnsi="PermianSerifTypeface"/>
          <w:bCs/>
        </w:rPr>
      </w:pPr>
      <w:bookmarkStart w:id="5" w:name="_Ref136009923"/>
      <w:r w:rsidRPr="00EF13D2">
        <w:rPr>
          <w:rFonts w:ascii="PermianSerifTypeface" w:hAnsi="PermianSerifTypeface"/>
        </w:rPr>
        <w:t xml:space="preserve">The notification, accompanied by the documents and information referred to in point 17, shall be signed by </w:t>
      </w:r>
      <w:r w:rsidR="003A6BFA" w:rsidRPr="00EF13D2">
        <w:rPr>
          <w:rFonts w:ascii="PermianSerifTypeface" w:hAnsi="PermianSerifTypeface"/>
        </w:rPr>
        <w:t>the governing body/member of the governing body</w:t>
      </w:r>
      <w:r w:rsidR="003A6BFA" w:rsidRPr="00EF13D2" w:rsidDel="003A6BFA">
        <w:rPr>
          <w:rFonts w:ascii="PermianSerifTypeface" w:hAnsi="PermianSerifTypeface"/>
        </w:rPr>
        <w:t xml:space="preserve"> </w:t>
      </w:r>
      <w:r w:rsidRPr="00EF13D2">
        <w:rPr>
          <w:rFonts w:ascii="PermianSerifTypeface" w:hAnsi="PermianSerifTypeface"/>
        </w:rPr>
        <w:t xml:space="preserve">or authorized person, and submitted in paper form at the premises of the National Bank of Moldova or in electronic form by applying a qualified electronic signature in accordance with Law No. 124/2022 on electronic identification and trust services, to the address: </w:t>
      </w:r>
      <w:hyperlink r:id="rId12" w:history="1">
        <w:r w:rsidRPr="00EF13D2">
          <w:rPr>
            <w:rStyle w:val="Hyperlink"/>
            <w:rFonts w:ascii="PermianSerifTypeface" w:hAnsi="PermianSerifTypeface"/>
            <w:bCs/>
          </w:rPr>
          <w:t>reglementare.psp@bnm.md</w:t>
        </w:r>
      </w:hyperlink>
      <w:r w:rsidRPr="00EF13D2">
        <w:rPr>
          <w:rFonts w:ascii="PermianSerifTypeface" w:hAnsi="PermianSerifTypeface"/>
          <w:bCs/>
        </w:rPr>
        <w:t xml:space="preserve">, </w:t>
      </w:r>
      <w:r w:rsidRPr="00EF13D2">
        <w:rPr>
          <w:rFonts w:ascii="PermianSerifTypeface" w:hAnsi="PermianSerifTypeface"/>
        </w:rPr>
        <w:t xml:space="preserve">or through other electronic channels according to the normative acts of the National Bank of Moldova. </w:t>
      </w:r>
    </w:p>
    <w:p w14:paraId="22F68EDF" w14:textId="635AB4CB" w:rsidR="00106ADA" w:rsidRPr="00EF13D2" w:rsidRDefault="00D63914" w:rsidP="00687B6A">
      <w:pPr>
        <w:pStyle w:val="ListParagraph"/>
        <w:numPr>
          <w:ilvl w:val="0"/>
          <w:numId w:val="2"/>
        </w:numPr>
        <w:tabs>
          <w:tab w:val="left" w:pos="993"/>
          <w:tab w:val="left" w:pos="3119"/>
          <w:tab w:val="left" w:pos="4111"/>
        </w:tabs>
        <w:ind w:left="0" w:firstLine="426"/>
        <w:jc w:val="both"/>
        <w:rPr>
          <w:rFonts w:ascii="PermianSerifTypeface" w:hAnsi="PermianSerifTypeface"/>
          <w:bCs/>
        </w:rPr>
      </w:pPr>
      <w:bookmarkStart w:id="6" w:name="_Ref136010034"/>
      <w:bookmarkEnd w:id="5"/>
      <w:r w:rsidRPr="00EF13D2">
        <w:rPr>
          <w:rFonts w:ascii="PermianSerifTypeface" w:hAnsi="PermianSerifTypeface"/>
          <w:bCs/>
        </w:rPr>
        <w:t>The National Bank of Moldova shall examine the notification referred to in point 16 in accordance with the procedure described in Art. 2</w:t>
      </w:r>
      <w:r w:rsidRPr="00EF13D2">
        <w:rPr>
          <w:rFonts w:ascii="PermianSerifTypeface" w:hAnsi="PermianSerifTypeface"/>
          <w:bCs/>
          <w:vertAlign w:val="superscript"/>
        </w:rPr>
        <w:t>2</w:t>
      </w:r>
      <w:r w:rsidRPr="00EF13D2">
        <w:rPr>
          <w:rFonts w:ascii="PermianSerifTypeface" w:hAnsi="PermianSerifTypeface"/>
          <w:bCs/>
        </w:rPr>
        <w:t xml:space="preserve"> para. (3) and (4) of Law No. 114/2012.</w:t>
      </w:r>
      <w:bookmarkEnd w:id="6"/>
    </w:p>
    <w:p w14:paraId="34173482" w14:textId="7ADAD3B9" w:rsidR="008F1149" w:rsidRPr="00EF13D2" w:rsidRDefault="00D63914" w:rsidP="00687B6A">
      <w:pPr>
        <w:pStyle w:val="ListParagraph"/>
        <w:numPr>
          <w:ilvl w:val="0"/>
          <w:numId w:val="2"/>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 xml:space="preserve">Persons who fail to comply with the requirements set out in points 3, 10, and 16 shall be liable to </w:t>
      </w:r>
      <w:proofErr w:type="spellStart"/>
      <w:r w:rsidRPr="00EF13D2">
        <w:rPr>
          <w:rFonts w:ascii="PermianSerifTypeface" w:hAnsi="PermianSerifTypeface"/>
          <w:bCs/>
        </w:rPr>
        <w:t>contraventional</w:t>
      </w:r>
      <w:proofErr w:type="spellEnd"/>
      <w:r w:rsidRPr="00EF13D2">
        <w:rPr>
          <w:rFonts w:ascii="PermianSerifTypeface" w:hAnsi="PermianSerifTypeface"/>
          <w:bCs/>
        </w:rPr>
        <w:t xml:space="preserve"> liability, as provided for in Art. 2</w:t>
      </w:r>
      <w:r w:rsidRPr="00EF13D2">
        <w:rPr>
          <w:rFonts w:ascii="PermianSerifTypeface" w:hAnsi="PermianSerifTypeface"/>
          <w:bCs/>
          <w:vertAlign w:val="superscript"/>
        </w:rPr>
        <w:t>1</w:t>
      </w:r>
      <w:r w:rsidRPr="00EF13D2">
        <w:rPr>
          <w:rFonts w:ascii="PermianSerifTypeface" w:hAnsi="PermianSerifTypeface"/>
          <w:bCs/>
        </w:rPr>
        <w:t xml:space="preserve"> para. (5) and Art. 2</w:t>
      </w:r>
      <w:r w:rsidRPr="00EF13D2">
        <w:rPr>
          <w:rFonts w:ascii="PermianSerifTypeface" w:hAnsi="PermianSerifTypeface"/>
          <w:bCs/>
          <w:vertAlign w:val="superscript"/>
        </w:rPr>
        <w:t>4</w:t>
      </w:r>
      <w:r w:rsidRPr="00EF13D2">
        <w:rPr>
          <w:rFonts w:ascii="PermianSerifTypeface" w:hAnsi="PermianSerifTypeface"/>
          <w:bCs/>
        </w:rPr>
        <w:t xml:space="preserve"> of Law No. 114/2012.</w:t>
      </w:r>
      <w:r w:rsidR="00A85726" w:rsidRPr="00EF13D2">
        <w:rPr>
          <w:rFonts w:ascii="PermianSerifTypeface" w:hAnsi="PermianSerifTypeface"/>
          <w:bCs/>
        </w:rPr>
        <w:t xml:space="preserve"> </w:t>
      </w:r>
    </w:p>
    <w:p w14:paraId="1B7DC0EC" w14:textId="0EA4AFFC" w:rsidR="008F1149" w:rsidRPr="00EF13D2" w:rsidRDefault="00D63914" w:rsidP="00687B6A">
      <w:pPr>
        <w:pStyle w:val="ListParagraph"/>
        <w:numPr>
          <w:ilvl w:val="0"/>
          <w:numId w:val="2"/>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The notification referred to in points 3, 10, and 16 shall be submitted by the entity only once. A new notification shall be submitted to the National Bank of Moldova when any information relating to the same specific payment instrument as provided in the original notification has substantially changed, such as:</w:t>
      </w:r>
    </w:p>
    <w:p w14:paraId="4BD3DB20" w14:textId="0D24FC6C" w:rsidR="000E50E5" w:rsidRPr="00EF13D2" w:rsidRDefault="00D81F17" w:rsidP="00707C75">
      <w:pPr>
        <w:pStyle w:val="ListParagraph"/>
        <w:numPr>
          <w:ilvl w:val="0"/>
          <w:numId w:val="8"/>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 xml:space="preserve">he provision of the exempted services has </w:t>
      </w:r>
      <w:proofErr w:type="gramStart"/>
      <w:r w:rsidR="00D63914" w:rsidRPr="00EF13D2">
        <w:rPr>
          <w:rFonts w:ascii="PermianSerifTypeface" w:hAnsi="PermianSerifTypeface"/>
          <w:bCs/>
        </w:rPr>
        <w:t>ceased;</w:t>
      </w:r>
      <w:proofErr w:type="gramEnd"/>
    </w:p>
    <w:p w14:paraId="0B30DA11" w14:textId="65336C2A" w:rsidR="00D63914" w:rsidRPr="00EF13D2" w:rsidRDefault="00D81F17" w:rsidP="00D63914">
      <w:pPr>
        <w:pStyle w:val="ListParagraph"/>
        <w:numPr>
          <w:ilvl w:val="0"/>
          <w:numId w:val="8"/>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he issuer intends to increase the number of suppliers of goods and/or services referred to in point 4</w:t>
      </w:r>
      <w:r w:rsidRPr="00EF13D2">
        <w:rPr>
          <w:rFonts w:ascii="PermianSerifTypeface" w:hAnsi="PermianSerifTypeface"/>
          <w:bCs/>
        </w:rPr>
        <w:t xml:space="preserve"> subpoint </w:t>
      </w:r>
      <w:r w:rsidR="00D63914" w:rsidRPr="00EF13D2">
        <w:rPr>
          <w:rFonts w:ascii="PermianSerifTypeface" w:hAnsi="PermianSerifTypeface"/>
          <w:bCs/>
        </w:rPr>
        <w:t>6</w:t>
      </w:r>
      <w:proofErr w:type="gramStart"/>
      <w:r w:rsidR="00D63914" w:rsidRPr="00EF13D2">
        <w:rPr>
          <w:rFonts w:ascii="PermianSerifTypeface" w:hAnsi="PermianSerifTypeface"/>
          <w:bCs/>
        </w:rPr>
        <w:t>);</w:t>
      </w:r>
      <w:proofErr w:type="gramEnd"/>
    </w:p>
    <w:p w14:paraId="6C2A680F" w14:textId="48F509E0" w:rsidR="00D63914" w:rsidRPr="00EF13D2" w:rsidRDefault="00D81F17" w:rsidP="00D63914">
      <w:pPr>
        <w:pStyle w:val="ListParagraph"/>
        <w:numPr>
          <w:ilvl w:val="0"/>
          <w:numId w:val="8"/>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 xml:space="preserve">he issuer intends to provide services under Art. 2 para. (2) item 11) </w:t>
      </w:r>
      <w:proofErr w:type="spellStart"/>
      <w:r w:rsidR="00D63914" w:rsidRPr="00EF13D2">
        <w:rPr>
          <w:rFonts w:ascii="PermianSerifTypeface" w:hAnsi="PermianSerifTypeface"/>
          <w:bCs/>
        </w:rPr>
        <w:t>l</w:t>
      </w:r>
      <w:r w:rsidRPr="00EF13D2">
        <w:rPr>
          <w:rFonts w:ascii="PermianSerifTypeface" w:hAnsi="PermianSerifTypeface"/>
          <w:bCs/>
        </w:rPr>
        <w:t>et</w:t>
      </w:r>
      <w:r w:rsidR="00D63914" w:rsidRPr="00EF13D2">
        <w:rPr>
          <w:rFonts w:ascii="PermianSerifTypeface" w:hAnsi="PermianSerifTypeface"/>
          <w:bCs/>
        </w:rPr>
        <w:t>t</w:t>
      </w:r>
      <w:proofErr w:type="spellEnd"/>
      <w:r w:rsidR="00D63914" w:rsidRPr="00EF13D2">
        <w:rPr>
          <w:rFonts w:ascii="PermianSerifTypeface" w:hAnsi="PermianSerifTypeface"/>
          <w:bCs/>
        </w:rPr>
        <w:t xml:space="preserve">. a) or b) of Law No. 114/2012 on the basis of an instrument not subject to the initial </w:t>
      </w:r>
      <w:proofErr w:type="gramStart"/>
      <w:r w:rsidR="00D63914" w:rsidRPr="00EF13D2">
        <w:rPr>
          <w:rFonts w:ascii="PermianSerifTypeface" w:hAnsi="PermianSerifTypeface"/>
          <w:bCs/>
        </w:rPr>
        <w:t>notification;</w:t>
      </w:r>
      <w:proofErr w:type="gramEnd"/>
    </w:p>
    <w:p w14:paraId="6CE181CA" w14:textId="7B88A738" w:rsidR="00D63914" w:rsidRPr="00EF13D2" w:rsidRDefault="00D81F17" w:rsidP="00D63914">
      <w:pPr>
        <w:pStyle w:val="ListParagraph"/>
        <w:numPr>
          <w:ilvl w:val="0"/>
          <w:numId w:val="8"/>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t</w:t>
      </w:r>
      <w:r w:rsidR="00D63914" w:rsidRPr="00EF13D2">
        <w:rPr>
          <w:rFonts w:ascii="PermianSerifTypeface" w:hAnsi="PermianSerifTypeface"/>
          <w:bCs/>
        </w:rPr>
        <w:t>he specific category of goods and/or services serving a common</w:t>
      </w:r>
      <w:r w:rsidR="00590FDC" w:rsidRPr="00EF13D2">
        <w:rPr>
          <w:rFonts w:ascii="PermianSerifTypeface" w:hAnsi="PermianSerifTypeface"/>
          <w:bCs/>
        </w:rPr>
        <w:t xml:space="preserve"> </w:t>
      </w:r>
      <w:r w:rsidR="00D63914" w:rsidRPr="00EF13D2">
        <w:rPr>
          <w:rFonts w:ascii="PermianSerifTypeface" w:hAnsi="PermianSerifTypeface"/>
          <w:bCs/>
        </w:rPr>
        <w:t>purpose, previously notified pursuant to point 11, is to be amended.</w:t>
      </w:r>
    </w:p>
    <w:p w14:paraId="40EB4A12" w14:textId="2660A849" w:rsidR="00B00AF6" w:rsidRPr="00EF13D2" w:rsidRDefault="00D63914" w:rsidP="00687B6A">
      <w:pPr>
        <w:pStyle w:val="ListParagraph"/>
        <w:numPr>
          <w:ilvl w:val="0"/>
          <w:numId w:val="2"/>
        </w:numPr>
        <w:tabs>
          <w:tab w:val="left" w:pos="993"/>
          <w:tab w:val="left" w:pos="1276"/>
          <w:tab w:val="left" w:pos="3119"/>
          <w:tab w:val="left" w:pos="4111"/>
        </w:tabs>
        <w:ind w:left="0" w:firstLine="426"/>
        <w:jc w:val="both"/>
        <w:rPr>
          <w:rFonts w:ascii="PermianSerifTypeface" w:hAnsi="PermianSerifTypeface"/>
          <w:bCs/>
        </w:rPr>
      </w:pPr>
      <w:r w:rsidRPr="00EF13D2">
        <w:rPr>
          <w:rFonts w:ascii="PermianSerifTypeface" w:hAnsi="PermianSerifTypeface"/>
          <w:bCs/>
        </w:rPr>
        <w:t xml:space="preserve">Without prejudice to </w:t>
      </w:r>
      <w:r w:rsidR="00590FDC" w:rsidRPr="00EF13D2">
        <w:rPr>
          <w:rFonts w:ascii="PermianSerifTypeface" w:hAnsi="PermianSerifTypeface"/>
          <w:bCs/>
        </w:rPr>
        <w:t xml:space="preserve">the provisions of </w:t>
      </w:r>
      <w:r w:rsidRPr="00EF13D2">
        <w:rPr>
          <w:rFonts w:ascii="PermianSerifTypeface" w:hAnsi="PermianSerifTypeface"/>
          <w:bCs/>
        </w:rPr>
        <w:t>paragraph 21, the National Bank of Moldova may require the person to submit a new notification with updated data if it considers this necessary to establish whether the information provided in the initial notification has changed.</w:t>
      </w:r>
    </w:p>
    <w:p w14:paraId="277A34FB" w14:textId="77777777" w:rsidR="002D724F" w:rsidRPr="00EF13D2" w:rsidRDefault="002D724F" w:rsidP="007E741C">
      <w:pPr>
        <w:pStyle w:val="ListParagraph"/>
        <w:spacing w:before="120" w:after="120" w:line="240" w:lineRule="auto"/>
        <w:ind w:left="0" w:firstLine="425"/>
        <w:jc w:val="center"/>
        <w:rPr>
          <w:rFonts w:ascii="PermianSerifTypeface" w:hAnsi="PermianSerifTypeface"/>
          <w:b/>
        </w:rPr>
      </w:pPr>
    </w:p>
    <w:p w14:paraId="1129B76D" w14:textId="72016175" w:rsidR="0072161E" w:rsidRPr="00EF13D2" w:rsidRDefault="0072161E" w:rsidP="007E741C">
      <w:pPr>
        <w:pStyle w:val="ListParagraph"/>
        <w:spacing w:before="120" w:after="120" w:line="240" w:lineRule="auto"/>
        <w:ind w:left="0" w:firstLine="425"/>
        <w:jc w:val="center"/>
        <w:rPr>
          <w:rFonts w:ascii="PermianSerifTypeface" w:hAnsi="PermianSerifTypeface"/>
          <w:b/>
        </w:rPr>
      </w:pPr>
      <w:r w:rsidRPr="00EF13D2">
        <w:rPr>
          <w:rFonts w:ascii="PermianSerifTypeface" w:hAnsi="PermianSerifTypeface"/>
          <w:b/>
        </w:rPr>
        <w:t>C</w:t>
      </w:r>
      <w:r w:rsidR="00D63914" w:rsidRPr="00EF13D2">
        <w:rPr>
          <w:rFonts w:ascii="PermianSerifTypeface" w:hAnsi="PermianSerifTypeface"/>
          <w:b/>
        </w:rPr>
        <w:t>hapter</w:t>
      </w:r>
      <w:r w:rsidRPr="00EF13D2">
        <w:rPr>
          <w:rFonts w:ascii="PermianSerifTypeface" w:hAnsi="PermianSerifTypeface"/>
          <w:b/>
        </w:rPr>
        <w:t xml:space="preserve"> I</w:t>
      </w:r>
      <w:r w:rsidR="008F0C50" w:rsidRPr="00EF13D2">
        <w:rPr>
          <w:rFonts w:ascii="PermianSerifTypeface" w:hAnsi="PermianSerifTypeface"/>
          <w:b/>
        </w:rPr>
        <w:t>V</w:t>
      </w:r>
    </w:p>
    <w:p w14:paraId="086E93AA" w14:textId="2D480B73" w:rsidR="0072161E" w:rsidRPr="00EF13D2" w:rsidRDefault="00D63914" w:rsidP="00707C75">
      <w:pPr>
        <w:spacing w:after="120" w:line="240" w:lineRule="auto"/>
        <w:ind w:firstLine="426"/>
        <w:jc w:val="center"/>
        <w:rPr>
          <w:rFonts w:ascii="PermianSerifTypeface" w:hAnsi="PermianSerifTypeface"/>
          <w:b/>
        </w:rPr>
      </w:pPr>
      <w:r w:rsidRPr="00EF13D2">
        <w:rPr>
          <w:rFonts w:ascii="PermianSerifTypeface" w:hAnsi="PermianSerifTypeface"/>
          <w:b/>
          <w:bCs/>
        </w:rPr>
        <w:t>PROVISION OF EXEMPTED SERVICES BY ENTITIES LICENSED BY THE NATIONAL BANK OF MOLDOVA ACCORDING TO LAW NO. 114/2012</w:t>
      </w:r>
    </w:p>
    <w:p w14:paraId="7A7C776B" w14:textId="44841AA3" w:rsidR="00781386" w:rsidRPr="00EF13D2" w:rsidRDefault="00D63914" w:rsidP="00687B6A">
      <w:pPr>
        <w:pStyle w:val="ListParagraph"/>
        <w:numPr>
          <w:ilvl w:val="0"/>
          <w:numId w:val="2"/>
        </w:numPr>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 xml:space="preserve">Payment service providers and electronic money issuers may provide services based on specific payment instruments that will be used only in a limited way, provided that the requirements set out in Art. 2 para. (2) item 11) </w:t>
      </w:r>
      <w:proofErr w:type="spellStart"/>
      <w:r w:rsidRPr="00EF13D2">
        <w:rPr>
          <w:rFonts w:ascii="PermianSerifTypeface" w:hAnsi="PermianSerifTypeface"/>
          <w:bCs/>
        </w:rPr>
        <w:t>l</w:t>
      </w:r>
      <w:r w:rsidR="001B76C2" w:rsidRPr="00EF13D2">
        <w:rPr>
          <w:rFonts w:ascii="PermianSerifTypeface" w:hAnsi="PermianSerifTypeface"/>
          <w:bCs/>
        </w:rPr>
        <w:t>et</w:t>
      </w:r>
      <w:r w:rsidRPr="00EF13D2">
        <w:rPr>
          <w:rFonts w:ascii="PermianSerifTypeface" w:hAnsi="PermianSerifTypeface"/>
          <w:bCs/>
        </w:rPr>
        <w:t>t</w:t>
      </w:r>
      <w:proofErr w:type="spellEnd"/>
      <w:r w:rsidRPr="00EF13D2">
        <w:rPr>
          <w:rFonts w:ascii="PermianSerifTypeface" w:hAnsi="PermianSerifTypeface"/>
          <w:bCs/>
        </w:rPr>
        <w:t>. a) and/or b) of Law No. 114/2012 and in this Regulation are met.</w:t>
      </w:r>
      <w:r w:rsidR="00485426" w:rsidRPr="00EF13D2">
        <w:rPr>
          <w:rFonts w:ascii="PermianSerifTypeface" w:hAnsi="PermianSerifTypeface"/>
          <w:bCs/>
        </w:rPr>
        <w:t xml:space="preserve"> </w:t>
      </w:r>
    </w:p>
    <w:p w14:paraId="13FE48CC" w14:textId="372B357C" w:rsidR="00781386" w:rsidRPr="00EF13D2" w:rsidRDefault="00D63914" w:rsidP="00D63914">
      <w:pPr>
        <w:pStyle w:val="ListParagraph"/>
        <w:numPr>
          <w:ilvl w:val="0"/>
          <w:numId w:val="2"/>
        </w:numPr>
        <w:tabs>
          <w:tab w:val="left" w:pos="993"/>
          <w:tab w:val="left" w:pos="1134"/>
          <w:tab w:val="left" w:pos="4111"/>
        </w:tabs>
        <w:ind w:left="0" w:firstLine="426"/>
        <w:jc w:val="both"/>
        <w:rPr>
          <w:rFonts w:ascii="PermianSerifTypeface" w:hAnsi="PermianSerifTypeface"/>
          <w:bCs/>
        </w:rPr>
      </w:pPr>
      <w:r w:rsidRPr="00EF13D2">
        <w:rPr>
          <w:rFonts w:ascii="PermianSerifTypeface" w:hAnsi="PermianSerifTypeface"/>
          <w:bCs/>
        </w:rPr>
        <w:t xml:space="preserve">In the case referred to in point 23, payment service providers and electronic money issuers shall clearly distinguish between payment services/activities involving electronic money and the services exempted under Art. 2 para. (2) item 11) </w:t>
      </w:r>
      <w:proofErr w:type="spellStart"/>
      <w:r w:rsidRPr="00EF13D2">
        <w:rPr>
          <w:rFonts w:ascii="PermianSerifTypeface" w:hAnsi="PermianSerifTypeface"/>
          <w:bCs/>
        </w:rPr>
        <w:t>l</w:t>
      </w:r>
      <w:r w:rsidR="001B76C2" w:rsidRPr="00EF13D2">
        <w:rPr>
          <w:rFonts w:ascii="PermianSerifTypeface" w:hAnsi="PermianSerifTypeface"/>
          <w:bCs/>
        </w:rPr>
        <w:t>e</w:t>
      </w:r>
      <w:r w:rsidRPr="00EF13D2">
        <w:rPr>
          <w:rFonts w:ascii="PermianSerifTypeface" w:hAnsi="PermianSerifTypeface"/>
          <w:bCs/>
        </w:rPr>
        <w:t>t</w:t>
      </w:r>
      <w:r w:rsidR="001B76C2" w:rsidRPr="00EF13D2">
        <w:rPr>
          <w:rFonts w:ascii="PermianSerifTypeface" w:hAnsi="PermianSerifTypeface"/>
          <w:bCs/>
        </w:rPr>
        <w:t>t</w:t>
      </w:r>
      <w:proofErr w:type="spellEnd"/>
      <w:r w:rsidRPr="00EF13D2">
        <w:rPr>
          <w:rFonts w:ascii="PermianSerifTypeface" w:hAnsi="PermianSerifTypeface"/>
          <w:bCs/>
        </w:rPr>
        <w:t>. a) and/or b) of Law No. 114/2012, including by providing a specific visual display.</w:t>
      </w:r>
    </w:p>
    <w:p w14:paraId="1D3B7694" w14:textId="622F26CF" w:rsidR="00781386" w:rsidRPr="00EF13D2" w:rsidRDefault="00D63914" w:rsidP="00687B6A">
      <w:pPr>
        <w:pStyle w:val="ListParagraph"/>
        <w:numPr>
          <w:ilvl w:val="0"/>
          <w:numId w:val="2"/>
        </w:numPr>
        <w:tabs>
          <w:tab w:val="left" w:pos="993"/>
          <w:tab w:val="left" w:pos="1134"/>
          <w:tab w:val="left" w:pos="4111"/>
        </w:tabs>
        <w:ind w:left="0" w:firstLine="426"/>
        <w:jc w:val="both"/>
        <w:rPr>
          <w:rFonts w:ascii="PermianSerifTypeface" w:hAnsi="PermianSerifTypeface"/>
          <w:bCs/>
        </w:rPr>
      </w:pPr>
      <w:r w:rsidRPr="00EF13D2">
        <w:rPr>
          <w:rFonts w:ascii="PermianSerifTypeface" w:hAnsi="PermianSerifTypeface"/>
          <w:bCs/>
        </w:rPr>
        <w:t>Payment service providers and electronic money i</w:t>
      </w:r>
      <w:r w:rsidR="00513BF8" w:rsidRPr="00EF13D2">
        <w:rPr>
          <w:rFonts w:ascii="PermianSerifTypeface" w:hAnsi="PermianSerifTypeface"/>
          <w:bCs/>
        </w:rPr>
        <w:t>ssuers</w:t>
      </w:r>
      <w:r w:rsidRPr="00EF13D2">
        <w:rPr>
          <w:rFonts w:ascii="PermianSerifTypeface" w:hAnsi="PermianSerifTypeface"/>
          <w:bCs/>
        </w:rPr>
        <w:t xml:space="preserve"> shall inform the user of the specific instrument</w:t>
      </w:r>
      <w:r w:rsidR="00C36220" w:rsidRPr="00EF13D2">
        <w:rPr>
          <w:rFonts w:ascii="PermianSerifTypeface" w:hAnsi="PermianSerifTypeface"/>
          <w:bCs/>
        </w:rPr>
        <w:t xml:space="preserve"> </w:t>
      </w:r>
      <w:r w:rsidRPr="00EF13D2">
        <w:rPr>
          <w:rFonts w:ascii="PermianSerifTypeface" w:hAnsi="PermianSerifTypeface"/>
          <w:bCs/>
        </w:rPr>
        <w:t xml:space="preserve">in clear and easily understandable terms that the exempted services provided under Art. 2 para. (2) item 11) </w:t>
      </w:r>
      <w:proofErr w:type="spellStart"/>
      <w:r w:rsidRPr="00EF13D2">
        <w:rPr>
          <w:rFonts w:ascii="PermianSerifTypeface" w:hAnsi="PermianSerifTypeface"/>
          <w:bCs/>
        </w:rPr>
        <w:t>l</w:t>
      </w:r>
      <w:r w:rsidR="00513BF8" w:rsidRPr="00EF13D2">
        <w:rPr>
          <w:rFonts w:ascii="PermianSerifTypeface" w:hAnsi="PermianSerifTypeface"/>
          <w:bCs/>
        </w:rPr>
        <w:t>et</w:t>
      </w:r>
      <w:r w:rsidRPr="00EF13D2">
        <w:rPr>
          <w:rFonts w:ascii="PermianSerifTypeface" w:hAnsi="PermianSerifTypeface"/>
          <w:bCs/>
        </w:rPr>
        <w:t>t</w:t>
      </w:r>
      <w:proofErr w:type="spellEnd"/>
      <w:r w:rsidRPr="00EF13D2">
        <w:rPr>
          <w:rFonts w:ascii="PermianSerifTypeface" w:hAnsi="PermianSerifTypeface"/>
          <w:bCs/>
        </w:rPr>
        <w:t xml:space="preserve">. a) and/or b) of Law No. 114/2012 are not regulated </w:t>
      </w:r>
      <w:r w:rsidRPr="00EF13D2">
        <w:rPr>
          <w:rFonts w:ascii="PermianSerifTypeface" w:hAnsi="PermianSerifTypeface"/>
          <w:bCs/>
        </w:rPr>
        <w:lastRenderedPageBreak/>
        <w:t>and supervised by the National Bank of Moldova, and that users do not benefit from the protections granted to payment service users under Law No. 114/2012.</w:t>
      </w:r>
    </w:p>
    <w:p w14:paraId="2D127AF1" w14:textId="45F0AF23" w:rsidR="00F126F6" w:rsidRPr="00EF13D2" w:rsidRDefault="00D63914" w:rsidP="00687B6A">
      <w:pPr>
        <w:pStyle w:val="ListParagraph"/>
        <w:numPr>
          <w:ilvl w:val="0"/>
          <w:numId w:val="2"/>
        </w:numPr>
        <w:tabs>
          <w:tab w:val="left" w:pos="993"/>
          <w:tab w:val="left" w:pos="1134"/>
          <w:tab w:val="left" w:pos="4111"/>
        </w:tabs>
        <w:ind w:left="0" w:firstLine="426"/>
        <w:jc w:val="both"/>
        <w:rPr>
          <w:rFonts w:ascii="PermianSerifTypeface" w:hAnsi="PermianSerifTypeface"/>
          <w:bCs/>
        </w:rPr>
      </w:pPr>
      <w:r w:rsidRPr="00EF13D2">
        <w:rPr>
          <w:rFonts w:ascii="PermianSerifTypeface" w:hAnsi="PermianSerifTypeface"/>
          <w:bCs/>
        </w:rPr>
        <w:t xml:space="preserve">Non-bank payment service providers and electronic money issuers shall notify the National Bank of Moldova prior to the commencement of the activity of providing the exempted services referred to in Art. 2 para. (2) item 11) </w:t>
      </w:r>
      <w:proofErr w:type="spellStart"/>
      <w:r w:rsidRPr="00EF13D2">
        <w:rPr>
          <w:rFonts w:ascii="PermianSerifTypeface" w:hAnsi="PermianSerifTypeface"/>
          <w:bCs/>
        </w:rPr>
        <w:t>l</w:t>
      </w:r>
      <w:r w:rsidR="00513BF8" w:rsidRPr="00EF13D2">
        <w:rPr>
          <w:rFonts w:ascii="PermianSerifTypeface" w:hAnsi="PermianSerifTypeface"/>
          <w:bCs/>
        </w:rPr>
        <w:t>et</w:t>
      </w:r>
      <w:r w:rsidRPr="00EF13D2">
        <w:rPr>
          <w:rFonts w:ascii="PermianSerifTypeface" w:hAnsi="PermianSerifTypeface"/>
          <w:bCs/>
        </w:rPr>
        <w:t>t</w:t>
      </w:r>
      <w:proofErr w:type="spellEnd"/>
      <w:r w:rsidRPr="00EF13D2">
        <w:rPr>
          <w:rFonts w:ascii="PermianSerifTypeface" w:hAnsi="PermianSerifTypeface"/>
          <w:bCs/>
        </w:rPr>
        <w:t>. a) and/or b) of Law No. 114/2012, as well as after the commencement of such activities, in compliance with the provisions of Chapters II and III.</w:t>
      </w:r>
    </w:p>
    <w:p w14:paraId="0D40D5A6" w14:textId="22CFDDA4" w:rsidR="00781386" w:rsidRPr="00EF13D2" w:rsidRDefault="00D63914" w:rsidP="00687B6A">
      <w:pPr>
        <w:pStyle w:val="ListParagraph"/>
        <w:numPr>
          <w:ilvl w:val="0"/>
          <w:numId w:val="2"/>
        </w:numPr>
        <w:tabs>
          <w:tab w:val="left" w:pos="993"/>
          <w:tab w:val="left" w:pos="1134"/>
          <w:tab w:val="left" w:pos="4111"/>
        </w:tabs>
        <w:ind w:left="0" w:firstLine="426"/>
        <w:jc w:val="both"/>
        <w:rPr>
          <w:rFonts w:ascii="PermianSerifTypeface" w:hAnsi="PermianSerifTypeface"/>
          <w:bCs/>
        </w:rPr>
      </w:pPr>
      <w:r w:rsidRPr="00EF13D2">
        <w:rPr>
          <w:rFonts w:ascii="PermianSerifTypeface" w:hAnsi="PermianSerifTypeface"/>
          <w:bCs/>
        </w:rPr>
        <w:t>The National Bank of Moldova shall apply the supervisory measures provided for in Art. 97 of Law No. 114/2012 if,</w:t>
      </w:r>
      <w:r w:rsidR="00C36220" w:rsidRPr="00EF13D2">
        <w:rPr>
          <w:rFonts w:ascii="PermianSerifTypeface" w:hAnsi="PermianSerifTypeface"/>
          <w:bCs/>
        </w:rPr>
        <w:t xml:space="preserve"> </w:t>
      </w:r>
      <w:r w:rsidRPr="00EF13D2">
        <w:rPr>
          <w:rFonts w:ascii="PermianSerifTypeface" w:hAnsi="PermianSerifTypeface"/>
          <w:bCs/>
        </w:rPr>
        <w:t>during the assessment of the notification referred to in point 26, it considers that:</w:t>
      </w:r>
    </w:p>
    <w:p w14:paraId="0B50F888" w14:textId="4BB660AA" w:rsidR="00781386" w:rsidRPr="00EF13D2" w:rsidRDefault="00D6780E" w:rsidP="00707C75">
      <w:pPr>
        <w:pStyle w:val="ListParagraph"/>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1</w:t>
      </w:r>
      <w:r w:rsidR="00781386" w:rsidRPr="00EF13D2">
        <w:rPr>
          <w:rFonts w:ascii="PermianSerifTypeface" w:hAnsi="PermianSerifTypeface"/>
          <w:bCs/>
        </w:rPr>
        <w:t xml:space="preserve">) </w:t>
      </w:r>
      <w:r w:rsidR="00513BF8" w:rsidRPr="00EF13D2">
        <w:rPr>
          <w:rFonts w:ascii="PermianSerifTypeface" w:hAnsi="PermianSerifTypeface"/>
          <w:bCs/>
        </w:rPr>
        <w:t>t</w:t>
      </w:r>
      <w:r w:rsidR="0063508D" w:rsidRPr="00EF13D2">
        <w:rPr>
          <w:rFonts w:ascii="PermianSerifTypeface" w:hAnsi="PermianSerifTypeface"/>
          <w:bCs/>
        </w:rPr>
        <w:t xml:space="preserve">he distinction between regulated payment services and/or electronic money activities and the exempted services under Art. 2 para. (2) item 11) </w:t>
      </w:r>
      <w:proofErr w:type="spellStart"/>
      <w:r w:rsidR="0063508D" w:rsidRPr="00EF13D2">
        <w:rPr>
          <w:rFonts w:ascii="PermianSerifTypeface" w:hAnsi="PermianSerifTypeface"/>
          <w:bCs/>
        </w:rPr>
        <w:t>l</w:t>
      </w:r>
      <w:r w:rsidR="00513BF8" w:rsidRPr="00EF13D2">
        <w:rPr>
          <w:rFonts w:ascii="PermianSerifTypeface" w:hAnsi="PermianSerifTypeface"/>
          <w:bCs/>
        </w:rPr>
        <w:t>et</w:t>
      </w:r>
      <w:r w:rsidR="0063508D" w:rsidRPr="00EF13D2">
        <w:rPr>
          <w:rFonts w:ascii="PermianSerifTypeface" w:hAnsi="PermianSerifTypeface"/>
          <w:bCs/>
        </w:rPr>
        <w:t>t</w:t>
      </w:r>
      <w:proofErr w:type="spellEnd"/>
      <w:r w:rsidR="0063508D" w:rsidRPr="00EF13D2">
        <w:rPr>
          <w:rFonts w:ascii="PermianSerifTypeface" w:hAnsi="PermianSerifTypeface"/>
          <w:bCs/>
        </w:rPr>
        <w:t>. a) and/or b) of Law No. 114/2012 is not made transparent and understandable for users of the specific payment instruments referred to in points 24 and 25, and/or</w:t>
      </w:r>
    </w:p>
    <w:p w14:paraId="7B0CA00A" w14:textId="5F482831" w:rsidR="008052EC" w:rsidRPr="00EF13D2" w:rsidRDefault="00D6780E" w:rsidP="00CB75B6">
      <w:pPr>
        <w:pStyle w:val="ListParagraph"/>
        <w:tabs>
          <w:tab w:val="left" w:pos="993"/>
          <w:tab w:val="left" w:pos="3119"/>
          <w:tab w:val="left" w:pos="4111"/>
        </w:tabs>
        <w:ind w:left="0" w:firstLine="426"/>
        <w:jc w:val="both"/>
        <w:rPr>
          <w:rFonts w:ascii="PermianSerifTypeface" w:hAnsi="PermianSerifTypeface"/>
          <w:bCs/>
        </w:rPr>
      </w:pPr>
      <w:r w:rsidRPr="00EF13D2">
        <w:rPr>
          <w:rFonts w:ascii="PermianSerifTypeface" w:hAnsi="PermianSerifTypeface"/>
          <w:bCs/>
        </w:rPr>
        <w:t>2</w:t>
      </w:r>
      <w:r w:rsidR="00781386" w:rsidRPr="00EF13D2">
        <w:rPr>
          <w:rFonts w:ascii="PermianSerifTypeface" w:hAnsi="PermianSerifTypeface"/>
          <w:bCs/>
        </w:rPr>
        <w:t xml:space="preserve">) </w:t>
      </w:r>
      <w:r w:rsidR="007A6907" w:rsidRPr="00EF13D2">
        <w:rPr>
          <w:rFonts w:ascii="PermianSerifTypeface" w:hAnsi="PermianSerifTypeface"/>
          <w:bCs/>
        </w:rPr>
        <w:t>t</w:t>
      </w:r>
      <w:r w:rsidR="0063508D" w:rsidRPr="00EF13D2">
        <w:rPr>
          <w:rFonts w:ascii="PermianSerifTypeface" w:hAnsi="PermianSerifTypeface"/>
          <w:bCs/>
        </w:rPr>
        <w:t xml:space="preserve">he exempted services under Art. 2 para. (2) item 11) </w:t>
      </w:r>
      <w:proofErr w:type="spellStart"/>
      <w:r w:rsidR="0063508D" w:rsidRPr="00EF13D2">
        <w:rPr>
          <w:rFonts w:ascii="PermianSerifTypeface" w:hAnsi="PermianSerifTypeface"/>
          <w:bCs/>
        </w:rPr>
        <w:t>l</w:t>
      </w:r>
      <w:r w:rsidR="00513BF8" w:rsidRPr="00EF13D2">
        <w:rPr>
          <w:rFonts w:ascii="PermianSerifTypeface" w:hAnsi="PermianSerifTypeface"/>
          <w:bCs/>
        </w:rPr>
        <w:t>et</w:t>
      </w:r>
      <w:r w:rsidR="0063508D" w:rsidRPr="00EF13D2">
        <w:rPr>
          <w:rFonts w:ascii="PermianSerifTypeface" w:hAnsi="PermianSerifTypeface"/>
          <w:bCs/>
        </w:rPr>
        <w:t>t</w:t>
      </w:r>
      <w:proofErr w:type="spellEnd"/>
      <w:r w:rsidR="0063508D" w:rsidRPr="00EF13D2">
        <w:rPr>
          <w:rFonts w:ascii="PermianSerifTypeface" w:hAnsi="PermianSerifTypeface"/>
          <w:bCs/>
        </w:rPr>
        <w:t>. a) and/or b) of Law No. 114/2012 could jeopardize either the financial soundness of the payment service provider/electronic money issuer or the ability of the National Bank of Moldova to monitor compliance with the legal requirements of Law No. 114/2012.</w:t>
      </w:r>
    </w:p>
    <w:sectPr w:rsidR="008052EC" w:rsidRPr="00EF13D2" w:rsidSect="00D6357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FE901" w14:textId="77777777" w:rsidR="00870963" w:rsidRDefault="00870963" w:rsidP="002B421D">
      <w:pPr>
        <w:spacing w:after="0" w:line="240" w:lineRule="auto"/>
      </w:pPr>
      <w:r>
        <w:separator/>
      </w:r>
    </w:p>
  </w:endnote>
  <w:endnote w:type="continuationSeparator" w:id="0">
    <w:p w14:paraId="588928EC" w14:textId="77777777" w:rsidR="00870963" w:rsidRDefault="00870963" w:rsidP="002B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ermianSerifTypeface">
    <w:altName w:val="Calibri"/>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8E3E6" w14:textId="33DD53CF" w:rsidR="002B421D" w:rsidRDefault="002B421D" w:rsidP="00D63579">
    <w:pPr>
      <w:pStyle w:val="Footer"/>
    </w:pPr>
    <w:bookmarkStart w:id="9" w:name="TITUS1FooterEvenPages"/>
    <w:r w:rsidRPr="00BD681D">
      <w:rPr>
        <w:color w:val="000000"/>
        <w:sz w:val="2"/>
      </w:rPr>
      <w:t> </w:t>
    </w:r>
    <w:bookmarkEnd w:id="9"/>
  </w:p>
  <w:p w14:paraId="6F51A0E2" w14:textId="77777777" w:rsidR="002B421D" w:rsidRDefault="002B421D" w:rsidP="00D63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B1E15" w14:textId="324FD998" w:rsidR="002B421D" w:rsidRDefault="002B421D" w:rsidP="00D63579">
    <w:pPr>
      <w:pStyle w:val="Footer"/>
    </w:pPr>
    <w:bookmarkStart w:id="10" w:name="TITUS1FooterPrimary"/>
    <w:r w:rsidRPr="00BD681D">
      <w:rPr>
        <w:color w:val="000000"/>
        <w:sz w:val="2"/>
      </w:rPr>
      <w:t> </w:t>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931C0" w14:textId="77777777" w:rsidR="002B421D" w:rsidRDefault="002B4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A707B" w14:textId="77777777" w:rsidR="00870963" w:rsidRDefault="00870963" w:rsidP="002B421D">
      <w:pPr>
        <w:spacing w:after="0" w:line="240" w:lineRule="auto"/>
      </w:pPr>
      <w:r>
        <w:separator/>
      </w:r>
    </w:p>
  </w:footnote>
  <w:footnote w:type="continuationSeparator" w:id="0">
    <w:p w14:paraId="2B7EFB31" w14:textId="77777777" w:rsidR="00870963" w:rsidRDefault="00870963" w:rsidP="002B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1184" w14:textId="2987154E" w:rsidR="002B421D" w:rsidRDefault="002B421D" w:rsidP="00D63579">
    <w:pPr>
      <w:pStyle w:val="Header"/>
    </w:pPr>
    <w:bookmarkStart w:id="7" w:name="TITUS1HeaderEvenPages"/>
    <w:r w:rsidRPr="00BD681D">
      <w:rPr>
        <w:color w:val="000000"/>
        <w:sz w:val="2"/>
      </w:rPr>
      <w:t> </w:t>
    </w:r>
    <w:bookmarkEnd w:id="7"/>
  </w:p>
  <w:p w14:paraId="17986A66" w14:textId="77777777" w:rsidR="002B421D" w:rsidRDefault="002B421D" w:rsidP="00D63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7269" w14:textId="1DBD3F7B" w:rsidR="002B421D" w:rsidRDefault="002B421D" w:rsidP="00D63579">
    <w:pPr>
      <w:pStyle w:val="Header"/>
    </w:pPr>
    <w:bookmarkStart w:id="8" w:name="TITUS1HeaderPrimary"/>
    <w:r w:rsidRPr="00BD681D">
      <w:rPr>
        <w:color w:val="000000"/>
        <w:sz w:val="2"/>
      </w:rPr>
      <w:t> </w:t>
    </w:r>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5281" w14:textId="77777777" w:rsidR="002B421D" w:rsidRDefault="002B4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406"/>
    <w:multiLevelType w:val="multilevel"/>
    <w:tmpl w:val="DC1A766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40A77"/>
    <w:multiLevelType w:val="hybridMultilevel"/>
    <w:tmpl w:val="9826768E"/>
    <w:lvl w:ilvl="0" w:tplc="7E0AB6AC">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 w15:restartNumberingAfterBreak="0">
    <w:nsid w:val="1CFB098B"/>
    <w:multiLevelType w:val="hybridMultilevel"/>
    <w:tmpl w:val="CA16272A"/>
    <w:lvl w:ilvl="0" w:tplc="1CAA189E">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D508B"/>
    <w:multiLevelType w:val="hybridMultilevel"/>
    <w:tmpl w:val="B75CDC2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97372"/>
    <w:multiLevelType w:val="hybridMultilevel"/>
    <w:tmpl w:val="FFCCB954"/>
    <w:lvl w:ilvl="0" w:tplc="D186BF64">
      <w:start w:val="1"/>
      <w:numFmt w:val="decimal"/>
      <w:lvlText w:val="%1)"/>
      <w:lvlJc w:val="left"/>
      <w:pPr>
        <w:ind w:left="3414" w:hanging="360"/>
      </w:pPr>
      <w:rPr>
        <w:rFonts w:hint="default"/>
      </w:rPr>
    </w:lvl>
    <w:lvl w:ilvl="1" w:tplc="08180019" w:tentative="1">
      <w:start w:val="1"/>
      <w:numFmt w:val="lowerLetter"/>
      <w:lvlText w:val="%2."/>
      <w:lvlJc w:val="left"/>
      <w:pPr>
        <w:ind w:left="4134" w:hanging="360"/>
      </w:pPr>
    </w:lvl>
    <w:lvl w:ilvl="2" w:tplc="0818001B" w:tentative="1">
      <w:start w:val="1"/>
      <w:numFmt w:val="lowerRoman"/>
      <w:lvlText w:val="%3."/>
      <w:lvlJc w:val="right"/>
      <w:pPr>
        <w:ind w:left="4854" w:hanging="180"/>
      </w:pPr>
    </w:lvl>
    <w:lvl w:ilvl="3" w:tplc="0818000F" w:tentative="1">
      <w:start w:val="1"/>
      <w:numFmt w:val="decimal"/>
      <w:lvlText w:val="%4."/>
      <w:lvlJc w:val="left"/>
      <w:pPr>
        <w:ind w:left="5574" w:hanging="360"/>
      </w:pPr>
    </w:lvl>
    <w:lvl w:ilvl="4" w:tplc="08180019" w:tentative="1">
      <w:start w:val="1"/>
      <w:numFmt w:val="lowerLetter"/>
      <w:lvlText w:val="%5."/>
      <w:lvlJc w:val="left"/>
      <w:pPr>
        <w:ind w:left="6294" w:hanging="360"/>
      </w:pPr>
    </w:lvl>
    <w:lvl w:ilvl="5" w:tplc="0818001B" w:tentative="1">
      <w:start w:val="1"/>
      <w:numFmt w:val="lowerRoman"/>
      <w:lvlText w:val="%6."/>
      <w:lvlJc w:val="right"/>
      <w:pPr>
        <w:ind w:left="7014" w:hanging="180"/>
      </w:pPr>
    </w:lvl>
    <w:lvl w:ilvl="6" w:tplc="0818000F" w:tentative="1">
      <w:start w:val="1"/>
      <w:numFmt w:val="decimal"/>
      <w:lvlText w:val="%7."/>
      <w:lvlJc w:val="left"/>
      <w:pPr>
        <w:ind w:left="7734" w:hanging="360"/>
      </w:pPr>
    </w:lvl>
    <w:lvl w:ilvl="7" w:tplc="08180019" w:tentative="1">
      <w:start w:val="1"/>
      <w:numFmt w:val="lowerLetter"/>
      <w:lvlText w:val="%8."/>
      <w:lvlJc w:val="left"/>
      <w:pPr>
        <w:ind w:left="8454" w:hanging="360"/>
      </w:pPr>
    </w:lvl>
    <w:lvl w:ilvl="8" w:tplc="0818001B" w:tentative="1">
      <w:start w:val="1"/>
      <w:numFmt w:val="lowerRoman"/>
      <w:lvlText w:val="%9."/>
      <w:lvlJc w:val="right"/>
      <w:pPr>
        <w:ind w:left="9174" w:hanging="180"/>
      </w:pPr>
    </w:lvl>
  </w:abstractNum>
  <w:abstractNum w:abstractNumId="6" w15:restartNumberingAfterBreak="0">
    <w:nsid w:val="2F3377C9"/>
    <w:multiLevelType w:val="hybridMultilevel"/>
    <w:tmpl w:val="CB8E9B9E"/>
    <w:lvl w:ilvl="0" w:tplc="8904DF28">
      <w:start w:val="1"/>
      <w:numFmt w:val="decimal"/>
      <w:lvlText w:val="%1)"/>
      <w:lvlJc w:val="left"/>
      <w:pPr>
        <w:ind w:left="927" w:hanging="360"/>
      </w:pPr>
      <w:rPr>
        <w:rFonts w:ascii="PermianSerifTypeface" w:hAnsi="PermianSerifTypeface"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2FF049B0"/>
    <w:multiLevelType w:val="hybridMultilevel"/>
    <w:tmpl w:val="07D4916C"/>
    <w:lvl w:ilvl="0" w:tplc="26C499E4">
      <w:start w:val="4"/>
      <w:numFmt w:val="decimal"/>
      <w:lvlText w:val="%1."/>
      <w:lvlJc w:val="left"/>
      <w:pPr>
        <w:ind w:left="1211" w:hanging="360"/>
      </w:pPr>
      <w:rPr>
        <w:rFonts w:ascii="PermianSerifTypeface" w:hAnsi="PermianSerifTypeface" w:hint="default"/>
        <w:b/>
        <w:bCs w:val="0"/>
        <w:i w:val="0"/>
        <w:iCs/>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C0C50F8"/>
    <w:multiLevelType w:val="hybridMultilevel"/>
    <w:tmpl w:val="57941F8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35E3F2E"/>
    <w:multiLevelType w:val="hybridMultilevel"/>
    <w:tmpl w:val="342A8F68"/>
    <w:lvl w:ilvl="0" w:tplc="50B6B3E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0" w15:restartNumberingAfterBreak="0">
    <w:nsid w:val="514755B2"/>
    <w:multiLevelType w:val="hybridMultilevel"/>
    <w:tmpl w:val="66E4BBF2"/>
    <w:lvl w:ilvl="0" w:tplc="B0AE73EA">
      <w:start w:val="1"/>
      <w:numFmt w:val="decimal"/>
      <w:lvlText w:val="%1)"/>
      <w:lvlJc w:val="left"/>
      <w:pPr>
        <w:ind w:left="720" w:hanging="360"/>
      </w:pPr>
      <w:rPr>
        <w:rFonts w:ascii="PermianSerifTypeface" w:hAnsi="PermianSerifTypeface"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1EF10A3"/>
    <w:multiLevelType w:val="hybridMultilevel"/>
    <w:tmpl w:val="8BDE6D0A"/>
    <w:lvl w:ilvl="0" w:tplc="FBACA5F4">
      <w:start w:val="1"/>
      <w:numFmt w:val="decimal"/>
      <w:lvlText w:val="%1."/>
      <w:lvlJc w:val="left"/>
      <w:pPr>
        <w:ind w:left="3054"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12CEF"/>
    <w:multiLevelType w:val="hybridMultilevel"/>
    <w:tmpl w:val="0B18D5E6"/>
    <w:lvl w:ilvl="0" w:tplc="CB2842C0">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3" w15:restartNumberingAfterBreak="0">
    <w:nsid w:val="7B070407"/>
    <w:multiLevelType w:val="hybridMultilevel"/>
    <w:tmpl w:val="AD0C3E4A"/>
    <w:lvl w:ilvl="0" w:tplc="234C9250">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16cid:durableId="1633513791">
    <w:abstractNumId w:val="3"/>
  </w:num>
  <w:num w:numId="2" w16cid:durableId="1502349289">
    <w:abstractNumId w:val="11"/>
  </w:num>
  <w:num w:numId="3" w16cid:durableId="366833956">
    <w:abstractNumId w:val="4"/>
  </w:num>
  <w:num w:numId="4" w16cid:durableId="1580165655">
    <w:abstractNumId w:val="7"/>
  </w:num>
  <w:num w:numId="5" w16cid:durableId="1313364718">
    <w:abstractNumId w:val="8"/>
  </w:num>
  <w:num w:numId="6" w16cid:durableId="1164665447">
    <w:abstractNumId w:val="6"/>
  </w:num>
  <w:num w:numId="7" w16cid:durableId="360057394">
    <w:abstractNumId w:val="12"/>
  </w:num>
  <w:num w:numId="8" w16cid:durableId="2109763520">
    <w:abstractNumId w:val="5"/>
  </w:num>
  <w:num w:numId="9" w16cid:durableId="252279096">
    <w:abstractNumId w:val="13"/>
  </w:num>
  <w:num w:numId="10" w16cid:durableId="848906383">
    <w:abstractNumId w:val="1"/>
  </w:num>
  <w:num w:numId="11" w16cid:durableId="373888216">
    <w:abstractNumId w:val="10"/>
  </w:num>
  <w:num w:numId="12" w16cid:durableId="323172268">
    <w:abstractNumId w:val="9"/>
  </w:num>
  <w:num w:numId="13" w16cid:durableId="1262445421">
    <w:abstractNumId w:val="2"/>
  </w:num>
  <w:num w:numId="14" w16cid:durableId="81167830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7B"/>
    <w:rsid w:val="000072B8"/>
    <w:rsid w:val="0001372B"/>
    <w:rsid w:val="00051ED0"/>
    <w:rsid w:val="00054ACC"/>
    <w:rsid w:val="0007020B"/>
    <w:rsid w:val="0007467C"/>
    <w:rsid w:val="00080178"/>
    <w:rsid w:val="00081285"/>
    <w:rsid w:val="000A014F"/>
    <w:rsid w:val="000A4979"/>
    <w:rsid w:val="000B05CF"/>
    <w:rsid w:val="000B1C0B"/>
    <w:rsid w:val="000B749B"/>
    <w:rsid w:val="000B76F7"/>
    <w:rsid w:val="000D256B"/>
    <w:rsid w:val="000E09B5"/>
    <w:rsid w:val="000E50E5"/>
    <w:rsid w:val="000F20EA"/>
    <w:rsid w:val="000F4084"/>
    <w:rsid w:val="001017D7"/>
    <w:rsid w:val="001049A8"/>
    <w:rsid w:val="00106ADA"/>
    <w:rsid w:val="00116002"/>
    <w:rsid w:val="001249FF"/>
    <w:rsid w:val="00132952"/>
    <w:rsid w:val="00133955"/>
    <w:rsid w:val="001341FF"/>
    <w:rsid w:val="00143A67"/>
    <w:rsid w:val="0015142B"/>
    <w:rsid w:val="001534DB"/>
    <w:rsid w:val="0015658F"/>
    <w:rsid w:val="0015777E"/>
    <w:rsid w:val="00157912"/>
    <w:rsid w:val="00160854"/>
    <w:rsid w:val="00163A49"/>
    <w:rsid w:val="00165D14"/>
    <w:rsid w:val="00166F73"/>
    <w:rsid w:val="00171FDF"/>
    <w:rsid w:val="0017288C"/>
    <w:rsid w:val="00192927"/>
    <w:rsid w:val="001B76C2"/>
    <w:rsid w:val="001C34D2"/>
    <w:rsid w:val="001D14FA"/>
    <w:rsid w:val="001D4531"/>
    <w:rsid w:val="001D5977"/>
    <w:rsid w:val="001E19B8"/>
    <w:rsid w:val="001E1B64"/>
    <w:rsid w:val="001F69F1"/>
    <w:rsid w:val="002045D6"/>
    <w:rsid w:val="00210452"/>
    <w:rsid w:val="0022570E"/>
    <w:rsid w:val="00227DD9"/>
    <w:rsid w:val="00235E68"/>
    <w:rsid w:val="00237530"/>
    <w:rsid w:val="00241E5D"/>
    <w:rsid w:val="00263739"/>
    <w:rsid w:val="00266E65"/>
    <w:rsid w:val="002702F6"/>
    <w:rsid w:val="00290778"/>
    <w:rsid w:val="0029599E"/>
    <w:rsid w:val="00296EC8"/>
    <w:rsid w:val="002A04AC"/>
    <w:rsid w:val="002A290A"/>
    <w:rsid w:val="002B421D"/>
    <w:rsid w:val="002C41D2"/>
    <w:rsid w:val="002C46CA"/>
    <w:rsid w:val="002D4EFC"/>
    <w:rsid w:val="002D724F"/>
    <w:rsid w:val="002E093D"/>
    <w:rsid w:val="002E4F35"/>
    <w:rsid w:val="002F0612"/>
    <w:rsid w:val="002F2D5C"/>
    <w:rsid w:val="002F5C45"/>
    <w:rsid w:val="002F73BD"/>
    <w:rsid w:val="00300D72"/>
    <w:rsid w:val="0030703C"/>
    <w:rsid w:val="00307776"/>
    <w:rsid w:val="00307BB7"/>
    <w:rsid w:val="0031751B"/>
    <w:rsid w:val="00317838"/>
    <w:rsid w:val="00317FEB"/>
    <w:rsid w:val="00323737"/>
    <w:rsid w:val="00327C7F"/>
    <w:rsid w:val="00335487"/>
    <w:rsid w:val="00337E14"/>
    <w:rsid w:val="00344C44"/>
    <w:rsid w:val="00345C16"/>
    <w:rsid w:val="00355975"/>
    <w:rsid w:val="00356E75"/>
    <w:rsid w:val="00362007"/>
    <w:rsid w:val="00385157"/>
    <w:rsid w:val="003A6BFA"/>
    <w:rsid w:val="003C349D"/>
    <w:rsid w:val="003C56C2"/>
    <w:rsid w:val="003D4ADA"/>
    <w:rsid w:val="003D6332"/>
    <w:rsid w:val="003F0105"/>
    <w:rsid w:val="003F45AA"/>
    <w:rsid w:val="003F48C4"/>
    <w:rsid w:val="003F6DEA"/>
    <w:rsid w:val="004114A5"/>
    <w:rsid w:val="00413D34"/>
    <w:rsid w:val="00413D76"/>
    <w:rsid w:val="004200D3"/>
    <w:rsid w:val="0042210E"/>
    <w:rsid w:val="00424B0D"/>
    <w:rsid w:val="00424F75"/>
    <w:rsid w:val="00425E24"/>
    <w:rsid w:val="004345AB"/>
    <w:rsid w:val="004345B4"/>
    <w:rsid w:val="00436D28"/>
    <w:rsid w:val="00437736"/>
    <w:rsid w:val="00447DF8"/>
    <w:rsid w:val="00465124"/>
    <w:rsid w:val="00474676"/>
    <w:rsid w:val="00483FF6"/>
    <w:rsid w:val="00485426"/>
    <w:rsid w:val="00491895"/>
    <w:rsid w:val="00492E66"/>
    <w:rsid w:val="004A1FA2"/>
    <w:rsid w:val="004A291C"/>
    <w:rsid w:val="004B7893"/>
    <w:rsid w:val="004C6A55"/>
    <w:rsid w:val="004D026A"/>
    <w:rsid w:val="004D318A"/>
    <w:rsid w:val="004D5FC3"/>
    <w:rsid w:val="004D6927"/>
    <w:rsid w:val="004E0748"/>
    <w:rsid w:val="004E2297"/>
    <w:rsid w:val="0050357B"/>
    <w:rsid w:val="00506DC0"/>
    <w:rsid w:val="00507F81"/>
    <w:rsid w:val="00513BF8"/>
    <w:rsid w:val="00524FDD"/>
    <w:rsid w:val="00526493"/>
    <w:rsid w:val="00527656"/>
    <w:rsid w:val="00534A51"/>
    <w:rsid w:val="00534AE0"/>
    <w:rsid w:val="005418DB"/>
    <w:rsid w:val="0055526F"/>
    <w:rsid w:val="0055588D"/>
    <w:rsid w:val="0055736A"/>
    <w:rsid w:val="0056101A"/>
    <w:rsid w:val="0057193F"/>
    <w:rsid w:val="00572F0F"/>
    <w:rsid w:val="0057416F"/>
    <w:rsid w:val="00577219"/>
    <w:rsid w:val="00580BDE"/>
    <w:rsid w:val="005848B9"/>
    <w:rsid w:val="00587E72"/>
    <w:rsid w:val="00590FDC"/>
    <w:rsid w:val="00592081"/>
    <w:rsid w:val="005A1974"/>
    <w:rsid w:val="005A26D3"/>
    <w:rsid w:val="005A66A1"/>
    <w:rsid w:val="005A7FFC"/>
    <w:rsid w:val="005C12AC"/>
    <w:rsid w:val="005C57FD"/>
    <w:rsid w:val="005D0026"/>
    <w:rsid w:val="005D00FD"/>
    <w:rsid w:val="005D343C"/>
    <w:rsid w:val="005D4781"/>
    <w:rsid w:val="005E1B14"/>
    <w:rsid w:val="005E4257"/>
    <w:rsid w:val="005F02DD"/>
    <w:rsid w:val="005F3B7F"/>
    <w:rsid w:val="00600A1C"/>
    <w:rsid w:val="006068E7"/>
    <w:rsid w:val="0061305A"/>
    <w:rsid w:val="00615504"/>
    <w:rsid w:val="00616968"/>
    <w:rsid w:val="00620EEA"/>
    <w:rsid w:val="00627EC4"/>
    <w:rsid w:val="00634513"/>
    <w:rsid w:val="0063508D"/>
    <w:rsid w:val="006423CC"/>
    <w:rsid w:val="00644C52"/>
    <w:rsid w:val="006453CA"/>
    <w:rsid w:val="00652AC8"/>
    <w:rsid w:val="006545B1"/>
    <w:rsid w:val="00656BAE"/>
    <w:rsid w:val="00656CA5"/>
    <w:rsid w:val="006574E6"/>
    <w:rsid w:val="006609E1"/>
    <w:rsid w:val="00672A3B"/>
    <w:rsid w:val="0068266D"/>
    <w:rsid w:val="00685A23"/>
    <w:rsid w:val="0068693D"/>
    <w:rsid w:val="00687B6A"/>
    <w:rsid w:val="006922E2"/>
    <w:rsid w:val="00695F64"/>
    <w:rsid w:val="006A55E2"/>
    <w:rsid w:val="006D3D48"/>
    <w:rsid w:val="006E5872"/>
    <w:rsid w:val="006F13A2"/>
    <w:rsid w:val="006F6D92"/>
    <w:rsid w:val="00701CF3"/>
    <w:rsid w:val="00707C75"/>
    <w:rsid w:val="00717889"/>
    <w:rsid w:val="0072161E"/>
    <w:rsid w:val="00722590"/>
    <w:rsid w:val="007260E5"/>
    <w:rsid w:val="007277D2"/>
    <w:rsid w:val="00731DD3"/>
    <w:rsid w:val="00736BE2"/>
    <w:rsid w:val="0073732F"/>
    <w:rsid w:val="00737C8A"/>
    <w:rsid w:val="007571BE"/>
    <w:rsid w:val="00763C07"/>
    <w:rsid w:val="00770F75"/>
    <w:rsid w:val="00775D7B"/>
    <w:rsid w:val="007766AE"/>
    <w:rsid w:val="00781386"/>
    <w:rsid w:val="00781563"/>
    <w:rsid w:val="007A6907"/>
    <w:rsid w:val="007B21FF"/>
    <w:rsid w:val="007B2425"/>
    <w:rsid w:val="007B6DD1"/>
    <w:rsid w:val="007C2095"/>
    <w:rsid w:val="007C20CF"/>
    <w:rsid w:val="007D0FF1"/>
    <w:rsid w:val="007D4B46"/>
    <w:rsid w:val="007E61F3"/>
    <w:rsid w:val="007E741C"/>
    <w:rsid w:val="0080208A"/>
    <w:rsid w:val="008036D4"/>
    <w:rsid w:val="008052EC"/>
    <w:rsid w:val="00817397"/>
    <w:rsid w:val="008247E1"/>
    <w:rsid w:val="00831993"/>
    <w:rsid w:val="00837FF3"/>
    <w:rsid w:val="008537C0"/>
    <w:rsid w:val="008618DF"/>
    <w:rsid w:val="00865042"/>
    <w:rsid w:val="00867F85"/>
    <w:rsid w:val="00870963"/>
    <w:rsid w:val="0087190C"/>
    <w:rsid w:val="008737DE"/>
    <w:rsid w:val="00874A54"/>
    <w:rsid w:val="00875667"/>
    <w:rsid w:val="008777F8"/>
    <w:rsid w:val="00894E30"/>
    <w:rsid w:val="008A7A8D"/>
    <w:rsid w:val="008A7E88"/>
    <w:rsid w:val="008B1438"/>
    <w:rsid w:val="008B22E1"/>
    <w:rsid w:val="008B273B"/>
    <w:rsid w:val="008B7F02"/>
    <w:rsid w:val="008C0AB4"/>
    <w:rsid w:val="008C3BE8"/>
    <w:rsid w:val="008D265D"/>
    <w:rsid w:val="008D55E9"/>
    <w:rsid w:val="008D7369"/>
    <w:rsid w:val="008E3F16"/>
    <w:rsid w:val="008E5088"/>
    <w:rsid w:val="008E7C74"/>
    <w:rsid w:val="008F0C50"/>
    <w:rsid w:val="008F1149"/>
    <w:rsid w:val="008F4ABF"/>
    <w:rsid w:val="00901075"/>
    <w:rsid w:val="00902724"/>
    <w:rsid w:val="00905042"/>
    <w:rsid w:val="0090640F"/>
    <w:rsid w:val="00906956"/>
    <w:rsid w:val="009123F0"/>
    <w:rsid w:val="00914722"/>
    <w:rsid w:val="0093115F"/>
    <w:rsid w:val="00936373"/>
    <w:rsid w:val="0093678A"/>
    <w:rsid w:val="00936B82"/>
    <w:rsid w:val="0094630A"/>
    <w:rsid w:val="0095117C"/>
    <w:rsid w:val="009557DE"/>
    <w:rsid w:val="00963180"/>
    <w:rsid w:val="00965AE0"/>
    <w:rsid w:val="00974FC4"/>
    <w:rsid w:val="00976C8D"/>
    <w:rsid w:val="009806D2"/>
    <w:rsid w:val="009A0FB5"/>
    <w:rsid w:val="009A2EA9"/>
    <w:rsid w:val="009C4E2C"/>
    <w:rsid w:val="009F0494"/>
    <w:rsid w:val="009F6BC6"/>
    <w:rsid w:val="00A02623"/>
    <w:rsid w:val="00A06728"/>
    <w:rsid w:val="00A2002B"/>
    <w:rsid w:val="00A2243F"/>
    <w:rsid w:val="00A2258B"/>
    <w:rsid w:val="00A22C0E"/>
    <w:rsid w:val="00A335E2"/>
    <w:rsid w:val="00A36D71"/>
    <w:rsid w:val="00A54C05"/>
    <w:rsid w:val="00A56B13"/>
    <w:rsid w:val="00A6027A"/>
    <w:rsid w:val="00A60391"/>
    <w:rsid w:val="00A60B2C"/>
    <w:rsid w:val="00A70E32"/>
    <w:rsid w:val="00A8172D"/>
    <w:rsid w:val="00A83AD7"/>
    <w:rsid w:val="00A8412C"/>
    <w:rsid w:val="00A8462D"/>
    <w:rsid w:val="00A85726"/>
    <w:rsid w:val="00A90087"/>
    <w:rsid w:val="00A94993"/>
    <w:rsid w:val="00A978A7"/>
    <w:rsid w:val="00AB3D81"/>
    <w:rsid w:val="00AE3E61"/>
    <w:rsid w:val="00AE7818"/>
    <w:rsid w:val="00AF3F9A"/>
    <w:rsid w:val="00AF67A4"/>
    <w:rsid w:val="00AF7A18"/>
    <w:rsid w:val="00B00AF6"/>
    <w:rsid w:val="00B012A2"/>
    <w:rsid w:val="00B01FEA"/>
    <w:rsid w:val="00B028E1"/>
    <w:rsid w:val="00B03322"/>
    <w:rsid w:val="00B05BDE"/>
    <w:rsid w:val="00B14128"/>
    <w:rsid w:val="00B2106B"/>
    <w:rsid w:val="00B32F85"/>
    <w:rsid w:val="00B370A9"/>
    <w:rsid w:val="00B40808"/>
    <w:rsid w:val="00B42580"/>
    <w:rsid w:val="00B54FA8"/>
    <w:rsid w:val="00B56D8C"/>
    <w:rsid w:val="00B64138"/>
    <w:rsid w:val="00B67008"/>
    <w:rsid w:val="00B71F89"/>
    <w:rsid w:val="00B7295F"/>
    <w:rsid w:val="00B72B80"/>
    <w:rsid w:val="00B771A4"/>
    <w:rsid w:val="00B77B41"/>
    <w:rsid w:val="00B80531"/>
    <w:rsid w:val="00B85172"/>
    <w:rsid w:val="00B961D5"/>
    <w:rsid w:val="00BA0885"/>
    <w:rsid w:val="00BB029B"/>
    <w:rsid w:val="00BB5250"/>
    <w:rsid w:val="00BC7A62"/>
    <w:rsid w:val="00BD370D"/>
    <w:rsid w:val="00BD53BA"/>
    <w:rsid w:val="00BD681D"/>
    <w:rsid w:val="00BE17C3"/>
    <w:rsid w:val="00BE2E0B"/>
    <w:rsid w:val="00BE403A"/>
    <w:rsid w:val="00BF1803"/>
    <w:rsid w:val="00C0269E"/>
    <w:rsid w:val="00C03EBF"/>
    <w:rsid w:val="00C1611A"/>
    <w:rsid w:val="00C23E0C"/>
    <w:rsid w:val="00C341AB"/>
    <w:rsid w:val="00C36220"/>
    <w:rsid w:val="00C41122"/>
    <w:rsid w:val="00C41859"/>
    <w:rsid w:val="00C4418B"/>
    <w:rsid w:val="00C44436"/>
    <w:rsid w:val="00C444B9"/>
    <w:rsid w:val="00C5273B"/>
    <w:rsid w:val="00C57C07"/>
    <w:rsid w:val="00C64AA9"/>
    <w:rsid w:val="00C812AF"/>
    <w:rsid w:val="00C945F9"/>
    <w:rsid w:val="00C94724"/>
    <w:rsid w:val="00CA1274"/>
    <w:rsid w:val="00CA3195"/>
    <w:rsid w:val="00CB4BAC"/>
    <w:rsid w:val="00CB7340"/>
    <w:rsid w:val="00CB75B6"/>
    <w:rsid w:val="00CC0A2E"/>
    <w:rsid w:val="00CD3762"/>
    <w:rsid w:val="00CD52A8"/>
    <w:rsid w:val="00CD53EB"/>
    <w:rsid w:val="00CD6885"/>
    <w:rsid w:val="00CE42B6"/>
    <w:rsid w:val="00CF04C4"/>
    <w:rsid w:val="00CF332E"/>
    <w:rsid w:val="00D00A6B"/>
    <w:rsid w:val="00D04817"/>
    <w:rsid w:val="00D34132"/>
    <w:rsid w:val="00D37CFD"/>
    <w:rsid w:val="00D40C89"/>
    <w:rsid w:val="00D415AD"/>
    <w:rsid w:val="00D4315B"/>
    <w:rsid w:val="00D44CF1"/>
    <w:rsid w:val="00D450B1"/>
    <w:rsid w:val="00D5470E"/>
    <w:rsid w:val="00D55B1C"/>
    <w:rsid w:val="00D5738B"/>
    <w:rsid w:val="00D57545"/>
    <w:rsid w:val="00D57AEA"/>
    <w:rsid w:val="00D60285"/>
    <w:rsid w:val="00D63579"/>
    <w:rsid w:val="00D63914"/>
    <w:rsid w:val="00D6780E"/>
    <w:rsid w:val="00D739F3"/>
    <w:rsid w:val="00D772F9"/>
    <w:rsid w:val="00D80675"/>
    <w:rsid w:val="00D81F17"/>
    <w:rsid w:val="00D83C6D"/>
    <w:rsid w:val="00D908D9"/>
    <w:rsid w:val="00D911C0"/>
    <w:rsid w:val="00D91766"/>
    <w:rsid w:val="00D95258"/>
    <w:rsid w:val="00D97D70"/>
    <w:rsid w:val="00DB7456"/>
    <w:rsid w:val="00DC6C56"/>
    <w:rsid w:val="00DD388C"/>
    <w:rsid w:val="00DD60D5"/>
    <w:rsid w:val="00DE11A0"/>
    <w:rsid w:val="00DE54DF"/>
    <w:rsid w:val="00DE5B4B"/>
    <w:rsid w:val="00DE7A96"/>
    <w:rsid w:val="00DF3ADE"/>
    <w:rsid w:val="00DF43E1"/>
    <w:rsid w:val="00E12A05"/>
    <w:rsid w:val="00E16C81"/>
    <w:rsid w:val="00E24A15"/>
    <w:rsid w:val="00E30D6B"/>
    <w:rsid w:val="00E31C2F"/>
    <w:rsid w:val="00E32D99"/>
    <w:rsid w:val="00E333F7"/>
    <w:rsid w:val="00E4373C"/>
    <w:rsid w:val="00E504CB"/>
    <w:rsid w:val="00E52CB3"/>
    <w:rsid w:val="00E5594E"/>
    <w:rsid w:val="00E56770"/>
    <w:rsid w:val="00E645DB"/>
    <w:rsid w:val="00E6523F"/>
    <w:rsid w:val="00E701C5"/>
    <w:rsid w:val="00E7733A"/>
    <w:rsid w:val="00E82F4D"/>
    <w:rsid w:val="00E86C19"/>
    <w:rsid w:val="00E96C54"/>
    <w:rsid w:val="00E96D64"/>
    <w:rsid w:val="00EA5BBA"/>
    <w:rsid w:val="00EA7CBF"/>
    <w:rsid w:val="00EB1621"/>
    <w:rsid w:val="00ED6A4A"/>
    <w:rsid w:val="00EE0781"/>
    <w:rsid w:val="00EE15CE"/>
    <w:rsid w:val="00EE22CF"/>
    <w:rsid w:val="00EE2B67"/>
    <w:rsid w:val="00EE3429"/>
    <w:rsid w:val="00EF13D2"/>
    <w:rsid w:val="00F013B2"/>
    <w:rsid w:val="00F01B66"/>
    <w:rsid w:val="00F02FA2"/>
    <w:rsid w:val="00F05F21"/>
    <w:rsid w:val="00F0741B"/>
    <w:rsid w:val="00F126F6"/>
    <w:rsid w:val="00F13CB6"/>
    <w:rsid w:val="00F31200"/>
    <w:rsid w:val="00F34BD4"/>
    <w:rsid w:val="00F44541"/>
    <w:rsid w:val="00F45E44"/>
    <w:rsid w:val="00F54325"/>
    <w:rsid w:val="00F6485A"/>
    <w:rsid w:val="00F70ECE"/>
    <w:rsid w:val="00F71AA8"/>
    <w:rsid w:val="00F71B46"/>
    <w:rsid w:val="00F745C2"/>
    <w:rsid w:val="00F75477"/>
    <w:rsid w:val="00F80839"/>
    <w:rsid w:val="00F846C1"/>
    <w:rsid w:val="00F94633"/>
    <w:rsid w:val="00F975A5"/>
    <w:rsid w:val="00FA04C4"/>
    <w:rsid w:val="00FA5E3B"/>
    <w:rsid w:val="00FB473A"/>
    <w:rsid w:val="00FD495A"/>
    <w:rsid w:val="00FD5260"/>
    <w:rsid w:val="00FD5461"/>
    <w:rsid w:val="00FD6235"/>
    <w:rsid w:val="00FE23AB"/>
    <w:rsid w:val="00FE724E"/>
    <w:rsid w:val="00FF53ED"/>
    <w:rsid w:val="00FF75E5"/>
    <w:rsid w:val="00FF792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D3EC4"/>
  <w15:chartTrackingRefBased/>
  <w15:docId w15:val="{E8E7C740-C028-4612-BD44-C7AC2A3A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E0"/>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E0"/>
    <w:pPr>
      <w:ind w:left="720"/>
      <w:contextualSpacing/>
    </w:pPr>
  </w:style>
  <w:style w:type="character" w:styleId="Strong">
    <w:name w:val="Strong"/>
    <w:basedOn w:val="DefaultParagraphFont"/>
    <w:uiPriority w:val="22"/>
    <w:qFormat/>
    <w:rsid w:val="00534AE0"/>
    <w:rPr>
      <w:b/>
      <w:bCs/>
    </w:rPr>
  </w:style>
  <w:style w:type="character" w:customStyle="1" w:styleId="docheader">
    <w:name w:val="doc_header"/>
    <w:basedOn w:val="DefaultParagraphFont"/>
    <w:rsid w:val="00534AE0"/>
  </w:style>
  <w:style w:type="paragraph" w:styleId="NormalWeb">
    <w:name w:val="Normal (Web)"/>
    <w:basedOn w:val="Normal"/>
    <w:uiPriority w:val="99"/>
    <w:unhideWhenUsed/>
    <w:rsid w:val="00534AE0"/>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534AE0"/>
    <w:pPr>
      <w:spacing w:after="0" w:line="240" w:lineRule="auto"/>
    </w:pPr>
    <w:rPr>
      <w:kern w:val="0"/>
      <w:lang w:val="en-US"/>
      <w14:ligatures w14:val="none"/>
    </w:rPr>
  </w:style>
  <w:style w:type="paragraph" w:styleId="Header">
    <w:name w:val="header"/>
    <w:basedOn w:val="Normal"/>
    <w:link w:val="HeaderChar"/>
    <w:uiPriority w:val="99"/>
    <w:unhideWhenUsed/>
    <w:rsid w:val="002B421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B421D"/>
    <w:rPr>
      <w:kern w:val="0"/>
      <w:lang w:val="en-US"/>
      <w14:ligatures w14:val="none"/>
    </w:rPr>
  </w:style>
  <w:style w:type="paragraph" w:styleId="Footer">
    <w:name w:val="footer"/>
    <w:basedOn w:val="Normal"/>
    <w:link w:val="FooterChar"/>
    <w:uiPriority w:val="99"/>
    <w:unhideWhenUsed/>
    <w:rsid w:val="002B421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B421D"/>
    <w:rPr>
      <w:kern w:val="0"/>
      <w:lang w:val="en-US"/>
      <w14:ligatures w14:val="none"/>
    </w:rPr>
  </w:style>
  <w:style w:type="character" w:styleId="CommentReference">
    <w:name w:val="annotation reference"/>
    <w:basedOn w:val="DefaultParagraphFont"/>
    <w:uiPriority w:val="99"/>
    <w:semiHidden/>
    <w:unhideWhenUsed/>
    <w:rsid w:val="00831993"/>
    <w:rPr>
      <w:sz w:val="16"/>
      <w:szCs w:val="16"/>
    </w:rPr>
  </w:style>
  <w:style w:type="paragraph" w:styleId="CommentText">
    <w:name w:val="annotation text"/>
    <w:basedOn w:val="Normal"/>
    <w:link w:val="CommentTextChar"/>
    <w:uiPriority w:val="99"/>
    <w:unhideWhenUsed/>
    <w:rsid w:val="00831993"/>
    <w:pPr>
      <w:spacing w:line="240" w:lineRule="auto"/>
    </w:pPr>
    <w:rPr>
      <w:sz w:val="20"/>
      <w:szCs w:val="20"/>
    </w:rPr>
  </w:style>
  <w:style w:type="character" w:customStyle="1" w:styleId="CommentTextChar">
    <w:name w:val="Comment Text Char"/>
    <w:basedOn w:val="DefaultParagraphFont"/>
    <w:link w:val="CommentText"/>
    <w:uiPriority w:val="99"/>
    <w:rsid w:val="0083199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31993"/>
    <w:rPr>
      <w:b/>
      <w:bCs/>
    </w:rPr>
  </w:style>
  <w:style w:type="character" w:customStyle="1" w:styleId="CommentSubjectChar">
    <w:name w:val="Comment Subject Char"/>
    <w:basedOn w:val="CommentTextChar"/>
    <w:link w:val="CommentSubject"/>
    <w:uiPriority w:val="99"/>
    <w:semiHidden/>
    <w:rsid w:val="00831993"/>
    <w:rPr>
      <w:b/>
      <w:bCs/>
      <w:kern w:val="0"/>
      <w:sz w:val="20"/>
      <w:szCs w:val="20"/>
      <w:lang w:val="en-US"/>
      <w14:ligatures w14:val="none"/>
    </w:rPr>
  </w:style>
  <w:style w:type="character" w:styleId="Hyperlink">
    <w:name w:val="Hyperlink"/>
    <w:basedOn w:val="DefaultParagraphFont"/>
    <w:uiPriority w:val="99"/>
    <w:unhideWhenUsed/>
    <w:rsid w:val="00D60285"/>
    <w:rPr>
      <w:color w:val="0563C1" w:themeColor="hyperlink"/>
      <w:u w:val="single"/>
    </w:rPr>
  </w:style>
  <w:style w:type="character" w:customStyle="1" w:styleId="UnresolvedMention1">
    <w:name w:val="Unresolved Mention1"/>
    <w:basedOn w:val="DefaultParagraphFont"/>
    <w:uiPriority w:val="99"/>
    <w:semiHidden/>
    <w:unhideWhenUsed/>
    <w:rsid w:val="00D60285"/>
    <w:rPr>
      <w:color w:val="605E5C"/>
      <w:shd w:val="clear" w:color="auto" w:fill="E1DFDD"/>
    </w:rPr>
  </w:style>
  <w:style w:type="paragraph" w:styleId="BalloonText">
    <w:name w:val="Balloon Text"/>
    <w:basedOn w:val="Normal"/>
    <w:link w:val="BalloonTextChar"/>
    <w:uiPriority w:val="99"/>
    <w:semiHidden/>
    <w:unhideWhenUsed/>
    <w:rsid w:val="00F31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200"/>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7691">
      <w:bodyDiv w:val="1"/>
      <w:marLeft w:val="0"/>
      <w:marRight w:val="0"/>
      <w:marTop w:val="0"/>
      <w:marBottom w:val="0"/>
      <w:divBdr>
        <w:top w:val="none" w:sz="0" w:space="0" w:color="auto"/>
        <w:left w:val="none" w:sz="0" w:space="0" w:color="auto"/>
        <w:bottom w:val="none" w:sz="0" w:space="0" w:color="auto"/>
        <w:right w:val="none" w:sz="0" w:space="0" w:color="auto"/>
      </w:divBdr>
    </w:div>
    <w:div w:id="104540805">
      <w:bodyDiv w:val="1"/>
      <w:marLeft w:val="0"/>
      <w:marRight w:val="0"/>
      <w:marTop w:val="0"/>
      <w:marBottom w:val="0"/>
      <w:divBdr>
        <w:top w:val="none" w:sz="0" w:space="0" w:color="auto"/>
        <w:left w:val="none" w:sz="0" w:space="0" w:color="auto"/>
        <w:bottom w:val="none" w:sz="0" w:space="0" w:color="auto"/>
        <w:right w:val="none" w:sz="0" w:space="0" w:color="auto"/>
      </w:divBdr>
    </w:div>
    <w:div w:id="187567292">
      <w:bodyDiv w:val="1"/>
      <w:marLeft w:val="0"/>
      <w:marRight w:val="0"/>
      <w:marTop w:val="0"/>
      <w:marBottom w:val="0"/>
      <w:divBdr>
        <w:top w:val="none" w:sz="0" w:space="0" w:color="auto"/>
        <w:left w:val="none" w:sz="0" w:space="0" w:color="auto"/>
        <w:bottom w:val="none" w:sz="0" w:space="0" w:color="auto"/>
        <w:right w:val="none" w:sz="0" w:space="0" w:color="auto"/>
      </w:divBdr>
    </w:div>
    <w:div w:id="315846325">
      <w:bodyDiv w:val="1"/>
      <w:marLeft w:val="0"/>
      <w:marRight w:val="0"/>
      <w:marTop w:val="0"/>
      <w:marBottom w:val="0"/>
      <w:divBdr>
        <w:top w:val="none" w:sz="0" w:space="0" w:color="auto"/>
        <w:left w:val="none" w:sz="0" w:space="0" w:color="auto"/>
        <w:bottom w:val="none" w:sz="0" w:space="0" w:color="auto"/>
        <w:right w:val="none" w:sz="0" w:space="0" w:color="auto"/>
      </w:divBdr>
    </w:div>
    <w:div w:id="351804950">
      <w:bodyDiv w:val="1"/>
      <w:marLeft w:val="0"/>
      <w:marRight w:val="0"/>
      <w:marTop w:val="0"/>
      <w:marBottom w:val="0"/>
      <w:divBdr>
        <w:top w:val="none" w:sz="0" w:space="0" w:color="auto"/>
        <w:left w:val="none" w:sz="0" w:space="0" w:color="auto"/>
        <w:bottom w:val="none" w:sz="0" w:space="0" w:color="auto"/>
        <w:right w:val="none" w:sz="0" w:space="0" w:color="auto"/>
      </w:divBdr>
    </w:div>
    <w:div w:id="353849586">
      <w:bodyDiv w:val="1"/>
      <w:marLeft w:val="0"/>
      <w:marRight w:val="0"/>
      <w:marTop w:val="0"/>
      <w:marBottom w:val="0"/>
      <w:divBdr>
        <w:top w:val="none" w:sz="0" w:space="0" w:color="auto"/>
        <w:left w:val="none" w:sz="0" w:space="0" w:color="auto"/>
        <w:bottom w:val="none" w:sz="0" w:space="0" w:color="auto"/>
        <w:right w:val="none" w:sz="0" w:space="0" w:color="auto"/>
      </w:divBdr>
    </w:div>
    <w:div w:id="385108180">
      <w:bodyDiv w:val="1"/>
      <w:marLeft w:val="0"/>
      <w:marRight w:val="0"/>
      <w:marTop w:val="0"/>
      <w:marBottom w:val="0"/>
      <w:divBdr>
        <w:top w:val="none" w:sz="0" w:space="0" w:color="auto"/>
        <w:left w:val="none" w:sz="0" w:space="0" w:color="auto"/>
        <w:bottom w:val="none" w:sz="0" w:space="0" w:color="auto"/>
        <w:right w:val="none" w:sz="0" w:space="0" w:color="auto"/>
      </w:divBdr>
    </w:div>
    <w:div w:id="456992986">
      <w:bodyDiv w:val="1"/>
      <w:marLeft w:val="0"/>
      <w:marRight w:val="0"/>
      <w:marTop w:val="0"/>
      <w:marBottom w:val="0"/>
      <w:divBdr>
        <w:top w:val="none" w:sz="0" w:space="0" w:color="auto"/>
        <w:left w:val="none" w:sz="0" w:space="0" w:color="auto"/>
        <w:bottom w:val="none" w:sz="0" w:space="0" w:color="auto"/>
        <w:right w:val="none" w:sz="0" w:space="0" w:color="auto"/>
      </w:divBdr>
    </w:div>
    <w:div w:id="512693981">
      <w:bodyDiv w:val="1"/>
      <w:marLeft w:val="0"/>
      <w:marRight w:val="0"/>
      <w:marTop w:val="0"/>
      <w:marBottom w:val="0"/>
      <w:divBdr>
        <w:top w:val="none" w:sz="0" w:space="0" w:color="auto"/>
        <w:left w:val="none" w:sz="0" w:space="0" w:color="auto"/>
        <w:bottom w:val="none" w:sz="0" w:space="0" w:color="auto"/>
        <w:right w:val="none" w:sz="0" w:space="0" w:color="auto"/>
      </w:divBdr>
    </w:div>
    <w:div w:id="622730287">
      <w:bodyDiv w:val="1"/>
      <w:marLeft w:val="0"/>
      <w:marRight w:val="0"/>
      <w:marTop w:val="0"/>
      <w:marBottom w:val="0"/>
      <w:divBdr>
        <w:top w:val="none" w:sz="0" w:space="0" w:color="auto"/>
        <w:left w:val="none" w:sz="0" w:space="0" w:color="auto"/>
        <w:bottom w:val="none" w:sz="0" w:space="0" w:color="auto"/>
        <w:right w:val="none" w:sz="0" w:space="0" w:color="auto"/>
      </w:divBdr>
    </w:div>
    <w:div w:id="646741862">
      <w:bodyDiv w:val="1"/>
      <w:marLeft w:val="0"/>
      <w:marRight w:val="0"/>
      <w:marTop w:val="0"/>
      <w:marBottom w:val="0"/>
      <w:divBdr>
        <w:top w:val="none" w:sz="0" w:space="0" w:color="auto"/>
        <w:left w:val="none" w:sz="0" w:space="0" w:color="auto"/>
        <w:bottom w:val="none" w:sz="0" w:space="0" w:color="auto"/>
        <w:right w:val="none" w:sz="0" w:space="0" w:color="auto"/>
      </w:divBdr>
    </w:div>
    <w:div w:id="728111850">
      <w:bodyDiv w:val="1"/>
      <w:marLeft w:val="0"/>
      <w:marRight w:val="0"/>
      <w:marTop w:val="0"/>
      <w:marBottom w:val="0"/>
      <w:divBdr>
        <w:top w:val="none" w:sz="0" w:space="0" w:color="auto"/>
        <w:left w:val="none" w:sz="0" w:space="0" w:color="auto"/>
        <w:bottom w:val="none" w:sz="0" w:space="0" w:color="auto"/>
        <w:right w:val="none" w:sz="0" w:space="0" w:color="auto"/>
      </w:divBdr>
    </w:div>
    <w:div w:id="894971426">
      <w:bodyDiv w:val="1"/>
      <w:marLeft w:val="0"/>
      <w:marRight w:val="0"/>
      <w:marTop w:val="0"/>
      <w:marBottom w:val="0"/>
      <w:divBdr>
        <w:top w:val="none" w:sz="0" w:space="0" w:color="auto"/>
        <w:left w:val="none" w:sz="0" w:space="0" w:color="auto"/>
        <w:bottom w:val="none" w:sz="0" w:space="0" w:color="auto"/>
        <w:right w:val="none" w:sz="0" w:space="0" w:color="auto"/>
      </w:divBdr>
    </w:div>
    <w:div w:id="1037849480">
      <w:bodyDiv w:val="1"/>
      <w:marLeft w:val="0"/>
      <w:marRight w:val="0"/>
      <w:marTop w:val="0"/>
      <w:marBottom w:val="0"/>
      <w:divBdr>
        <w:top w:val="none" w:sz="0" w:space="0" w:color="auto"/>
        <w:left w:val="none" w:sz="0" w:space="0" w:color="auto"/>
        <w:bottom w:val="none" w:sz="0" w:space="0" w:color="auto"/>
        <w:right w:val="none" w:sz="0" w:space="0" w:color="auto"/>
      </w:divBdr>
    </w:div>
    <w:div w:id="1123696215">
      <w:bodyDiv w:val="1"/>
      <w:marLeft w:val="0"/>
      <w:marRight w:val="0"/>
      <w:marTop w:val="0"/>
      <w:marBottom w:val="0"/>
      <w:divBdr>
        <w:top w:val="none" w:sz="0" w:space="0" w:color="auto"/>
        <w:left w:val="none" w:sz="0" w:space="0" w:color="auto"/>
        <w:bottom w:val="none" w:sz="0" w:space="0" w:color="auto"/>
        <w:right w:val="none" w:sz="0" w:space="0" w:color="auto"/>
      </w:divBdr>
    </w:div>
    <w:div w:id="1184250470">
      <w:bodyDiv w:val="1"/>
      <w:marLeft w:val="0"/>
      <w:marRight w:val="0"/>
      <w:marTop w:val="0"/>
      <w:marBottom w:val="0"/>
      <w:divBdr>
        <w:top w:val="none" w:sz="0" w:space="0" w:color="auto"/>
        <w:left w:val="none" w:sz="0" w:space="0" w:color="auto"/>
        <w:bottom w:val="none" w:sz="0" w:space="0" w:color="auto"/>
        <w:right w:val="none" w:sz="0" w:space="0" w:color="auto"/>
      </w:divBdr>
    </w:div>
    <w:div w:id="1188174059">
      <w:bodyDiv w:val="1"/>
      <w:marLeft w:val="0"/>
      <w:marRight w:val="0"/>
      <w:marTop w:val="0"/>
      <w:marBottom w:val="0"/>
      <w:divBdr>
        <w:top w:val="none" w:sz="0" w:space="0" w:color="auto"/>
        <w:left w:val="none" w:sz="0" w:space="0" w:color="auto"/>
        <w:bottom w:val="none" w:sz="0" w:space="0" w:color="auto"/>
        <w:right w:val="none" w:sz="0" w:space="0" w:color="auto"/>
      </w:divBdr>
    </w:div>
    <w:div w:id="1200052292">
      <w:bodyDiv w:val="1"/>
      <w:marLeft w:val="0"/>
      <w:marRight w:val="0"/>
      <w:marTop w:val="0"/>
      <w:marBottom w:val="0"/>
      <w:divBdr>
        <w:top w:val="none" w:sz="0" w:space="0" w:color="auto"/>
        <w:left w:val="none" w:sz="0" w:space="0" w:color="auto"/>
        <w:bottom w:val="none" w:sz="0" w:space="0" w:color="auto"/>
        <w:right w:val="none" w:sz="0" w:space="0" w:color="auto"/>
      </w:divBdr>
    </w:div>
    <w:div w:id="1268658755">
      <w:bodyDiv w:val="1"/>
      <w:marLeft w:val="0"/>
      <w:marRight w:val="0"/>
      <w:marTop w:val="0"/>
      <w:marBottom w:val="0"/>
      <w:divBdr>
        <w:top w:val="none" w:sz="0" w:space="0" w:color="auto"/>
        <w:left w:val="none" w:sz="0" w:space="0" w:color="auto"/>
        <w:bottom w:val="none" w:sz="0" w:space="0" w:color="auto"/>
        <w:right w:val="none" w:sz="0" w:space="0" w:color="auto"/>
      </w:divBdr>
    </w:div>
    <w:div w:id="1335958717">
      <w:bodyDiv w:val="1"/>
      <w:marLeft w:val="0"/>
      <w:marRight w:val="0"/>
      <w:marTop w:val="0"/>
      <w:marBottom w:val="0"/>
      <w:divBdr>
        <w:top w:val="none" w:sz="0" w:space="0" w:color="auto"/>
        <w:left w:val="none" w:sz="0" w:space="0" w:color="auto"/>
        <w:bottom w:val="none" w:sz="0" w:space="0" w:color="auto"/>
        <w:right w:val="none" w:sz="0" w:space="0" w:color="auto"/>
      </w:divBdr>
    </w:div>
    <w:div w:id="1365642114">
      <w:bodyDiv w:val="1"/>
      <w:marLeft w:val="0"/>
      <w:marRight w:val="0"/>
      <w:marTop w:val="0"/>
      <w:marBottom w:val="0"/>
      <w:divBdr>
        <w:top w:val="none" w:sz="0" w:space="0" w:color="auto"/>
        <w:left w:val="none" w:sz="0" w:space="0" w:color="auto"/>
        <w:bottom w:val="none" w:sz="0" w:space="0" w:color="auto"/>
        <w:right w:val="none" w:sz="0" w:space="0" w:color="auto"/>
      </w:divBdr>
    </w:div>
    <w:div w:id="1487821534">
      <w:bodyDiv w:val="1"/>
      <w:marLeft w:val="0"/>
      <w:marRight w:val="0"/>
      <w:marTop w:val="0"/>
      <w:marBottom w:val="0"/>
      <w:divBdr>
        <w:top w:val="none" w:sz="0" w:space="0" w:color="auto"/>
        <w:left w:val="none" w:sz="0" w:space="0" w:color="auto"/>
        <w:bottom w:val="none" w:sz="0" w:space="0" w:color="auto"/>
        <w:right w:val="none" w:sz="0" w:space="0" w:color="auto"/>
      </w:divBdr>
    </w:div>
    <w:div w:id="1725837888">
      <w:bodyDiv w:val="1"/>
      <w:marLeft w:val="0"/>
      <w:marRight w:val="0"/>
      <w:marTop w:val="0"/>
      <w:marBottom w:val="0"/>
      <w:divBdr>
        <w:top w:val="none" w:sz="0" w:space="0" w:color="auto"/>
        <w:left w:val="none" w:sz="0" w:space="0" w:color="auto"/>
        <w:bottom w:val="none" w:sz="0" w:space="0" w:color="auto"/>
        <w:right w:val="none" w:sz="0" w:space="0" w:color="auto"/>
      </w:divBdr>
    </w:div>
    <w:div w:id="1925216267">
      <w:bodyDiv w:val="1"/>
      <w:marLeft w:val="0"/>
      <w:marRight w:val="0"/>
      <w:marTop w:val="0"/>
      <w:marBottom w:val="0"/>
      <w:divBdr>
        <w:top w:val="none" w:sz="0" w:space="0" w:color="auto"/>
        <w:left w:val="none" w:sz="0" w:space="0" w:color="auto"/>
        <w:bottom w:val="none" w:sz="0" w:space="0" w:color="auto"/>
        <w:right w:val="none" w:sz="0" w:space="0" w:color="auto"/>
      </w:divBdr>
    </w:div>
    <w:div w:id="19456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ailto:reglementare.psp@bnm.md" TargetMode="External" Type="http://schemas.openxmlformats.org/officeDocument/2006/relationships/hyperlink"/><Relationship Id="rId11" Target="mailto:reglementare.psp@bnm.md" TargetMode="External" Type="http://schemas.openxmlformats.org/officeDocument/2006/relationships/hyperlink"/><Relationship Id="rId12" Target="mailto:reglementare.psp@bnm.md" TargetMode="External" Type="http://schemas.openxmlformats.org/officeDocument/2006/relationships/hyperlink"/><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a2eee7ad-d222-4719-b32e-98b659502bb4</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89918-BA48-41AC-B199-C646DDFB8CFA}">
  <ds:schemaRefs>
    <ds:schemaRef ds:uri="http://schemas.titus.com/TitusProperties/"/>
    <ds:schemaRef ds:uri=""/>
  </ds:schemaRefs>
</ds:datastoreItem>
</file>

<file path=customXml/itemProps2.xml><?xml version="1.0" encoding="utf-8"?>
<ds:datastoreItem xmlns:ds="http://schemas.openxmlformats.org/officeDocument/2006/customXml" ds:itemID="{2B6BC6FC-A47F-4E9C-8793-C86E9F07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1926</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2024-07-19T12:18:00Z</dcterms:created>
  <cp:lastPrinted>2024-06-12T14:02:00Z</cp:lastPrinted>
  <dcterms:modified xsi:type="dcterms:W3CDTF">2024-07-22T08:20:00Z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89c35082-6e93-40b6-b3f3-62b731785139</vt:lpwstr>
  </property>
  <property fmtid="{D5CDD505-2E9C-101B-9397-08002B2CF9AE}" pid="3" name="check">
    <vt:lpwstr>NONE</vt:lpwstr>
  </property>
  <property fmtid="{D5CDD505-2E9C-101B-9397-08002B2CF9AE}" pid="4" name="Clasificare">
    <vt:lpwstr>NONE</vt:lpwstr>
  </property>
</Properties>
</file>